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5145" w14:textId="77777777" w:rsidR="00933C08" w:rsidRDefault="00933C08" w:rsidP="00C44973">
      <w:pPr>
        <w:spacing w:after="0" w:line="240" w:lineRule="auto"/>
        <w:rPr>
          <w:b/>
          <w:bCs/>
          <w:sz w:val="24"/>
          <w:szCs w:val="24"/>
        </w:rPr>
      </w:pPr>
    </w:p>
    <w:p w14:paraId="5D92522A" w14:textId="5AB6F59B" w:rsidR="00933C08" w:rsidRDefault="00933C08" w:rsidP="00933C08">
      <w:pPr>
        <w:spacing w:after="0" w:line="240" w:lineRule="auto"/>
        <w:jc w:val="right"/>
        <w:rPr>
          <w:b/>
          <w:bCs/>
          <w:sz w:val="24"/>
          <w:szCs w:val="24"/>
        </w:rPr>
      </w:pPr>
      <w:r>
        <w:rPr>
          <w:noProof/>
        </w:rPr>
        <w:drawing>
          <wp:inline distT="0" distB="0" distL="0" distR="0" wp14:anchorId="2697157C" wp14:editId="11CF59DC">
            <wp:extent cx="23431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1028700"/>
                    </a:xfrm>
                    <a:prstGeom prst="rect">
                      <a:avLst/>
                    </a:prstGeom>
                    <a:noFill/>
                    <a:ln>
                      <a:noFill/>
                    </a:ln>
                  </pic:spPr>
                </pic:pic>
              </a:graphicData>
            </a:graphic>
          </wp:inline>
        </w:drawing>
      </w:r>
    </w:p>
    <w:p w14:paraId="77F780D5" w14:textId="77777777" w:rsidR="00933C08" w:rsidRDefault="00933C08" w:rsidP="00C44973">
      <w:pPr>
        <w:spacing w:after="0" w:line="240" w:lineRule="auto"/>
        <w:rPr>
          <w:b/>
          <w:bCs/>
          <w:sz w:val="24"/>
          <w:szCs w:val="24"/>
        </w:rPr>
      </w:pPr>
    </w:p>
    <w:p w14:paraId="3D74A57F" w14:textId="77777777" w:rsidR="00337717" w:rsidRDefault="00337717" w:rsidP="00C44973">
      <w:pPr>
        <w:spacing w:after="0" w:line="240" w:lineRule="auto"/>
        <w:rPr>
          <w:b/>
          <w:bCs/>
          <w:sz w:val="36"/>
          <w:szCs w:val="36"/>
        </w:rPr>
      </w:pPr>
    </w:p>
    <w:p w14:paraId="52B86255" w14:textId="62B10E0B" w:rsidR="00C97DCB" w:rsidRDefault="005E305C" w:rsidP="00C44973">
      <w:pPr>
        <w:spacing w:after="0" w:line="240" w:lineRule="auto"/>
        <w:rPr>
          <w:b/>
          <w:bCs/>
          <w:sz w:val="36"/>
          <w:szCs w:val="36"/>
        </w:rPr>
      </w:pPr>
      <w:r w:rsidRPr="00933C08">
        <w:rPr>
          <w:b/>
          <w:bCs/>
          <w:sz w:val="36"/>
          <w:szCs w:val="36"/>
        </w:rPr>
        <w:t>Local child poverty indicators 2018/19 – distribution and trends</w:t>
      </w:r>
    </w:p>
    <w:p w14:paraId="2CACD1B0" w14:textId="7555FADE" w:rsidR="00933C08" w:rsidRDefault="00933C08" w:rsidP="00C44973">
      <w:pPr>
        <w:spacing w:after="0" w:line="240" w:lineRule="auto"/>
        <w:rPr>
          <w:b/>
          <w:bCs/>
          <w:sz w:val="36"/>
          <w:szCs w:val="36"/>
        </w:rPr>
      </w:pPr>
    </w:p>
    <w:p w14:paraId="7E85FFEB" w14:textId="28AFC1F6" w:rsidR="00337717" w:rsidRPr="00337717" w:rsidRDefault="00337717" w:rsidP="00C44973">
      <w:pPr>
        <w:spacing w:after="0" w:line="240" w:lineRule="auto"/>
        <w:rPr>
          <w:b/>
          <w:bCs/>
          <w:sz w:val="28"/>
          <w:szCs w:val="28"/>
        </w:rPr>
      </w:pPr>
      <w:r w:rsidRPr="00337717">
        <w:rPr>
          <w:b/>
          <w:bCs/>
          <w:sz w:val="28"/>
          <w:szCs w:val="28"/>
        </w:rPr>
        <w:t>Professor D. Hirsch, Centre for Research in Social Policy, Loughborough University, May 2020.</w:t>
      </w:r>
    </w:p>
    <w:p w14:paraId="6ADD1A95" w14:textId="53A4C234" w:rsidR="005E305C" w:rsidRPr="00165B05" w:rsidRDefault="005E305C" w:rsidP="00C44973">
      <w:pPr>
        <w:spacing w:after="0" w:line="240" w:lineRule="auto"/>
        <w:rPr>
          <w:sz w:val="24"/>
          <w:szCs w:val="24"/>
        </w:rPr>
      </w:pPr>
    </w:p>
    <w:p w14:paraId="72BB2E3D" w14:textId="40014A6A" w:rsidR="005E305C" w:rsidRPr="00165B05" w:rsidRDefault="005E305C" w:rsidP="00C44973">
      <w:pPr>
        <w:pStyle w:val="ListParagraph"/>
        <w:numPr>
          <w:ilvl w:val="0"/>
          <w:numId w:val="1"/>
        </w:numPr>
        <w:spacing w:after="0" w:line="240" w:lineRule="auto"/>
        <w:ind w:left="567" w:hanging="567"/>
        <w:rPr>
          <w:b/>
          <w:bCs/>
          <w:sz w:val="24"/>
          <w:szCs w:val="24"/>
        </w:rPr>
      </w:pPr>
      <w:r w:rsidRPr="00165B05">
        <w:rPr>
          <w:b/>
          <w:bCs/>
          <w:sz w:val="24"/>
          <w:szCs w:val="24"/>
        </w:rPr>
        <w:t>Introduction</w:t>
      </w:r>
    </w:p>
    <w:p w14:paraId="1762D738" w14:textId="77777777" w:rsidR="00C44973" w:rsidRPr="00165B05" w:rsidRDefault="00C44973" w:rsidP="00C44973">
      <w:pPr>
        <w:spacing w:after="0" w:line="240" w:lineRule="auto"/>
        <w:rPr>
          <w:sz w:val="24"/>
          <w:szCs w:val="24"/>
        </w:rPr>
      </w:pPr>
    </w:p>
    <w:p w14:paraId="0C909595" w14:textId="1382F257" w:rsidR="005E305C" w:rsidRPr="00165B05" w:rsidRDefault="005E305C" w:rsidP="00C44973">
      <w:pPr>
        <w:spacing w:after="0" w:line="240" w:lineRule="auto"/>
        <w:rPr>
          <w:sz w:val="24"/>
          <w:szCs w:val="24"/>
        </w:rPr>
      </w:pPr>
      <w:r w:rsidRPr="00165B05">
        <w:rPr>
          <w:sz w:val="24"/>
          <w:szCs w:val="24"/>
        </w:rPr>
        <w:t xml:space="preserve">In March 2020, the DWP and HMRC produced an important new set of local indicators of child poverty. Up until now, estimates of local child poverty rates have not been able to draw on direct calculations of incomes at local area level. </w:t>
      </w:r>
      <w:r w:rsidR="000A189A">
        <w:rPr>
          <w:sz w:val="24"/>
          <w:szCs w:val="24"/>
        </w:rPr>
        <w:t xml:space="preserve"> </w:t>
      </w:r>
      <w:r w:rsidRPr="00165B05">
        <w:rPr>
          <w:sz w:val="24"/>
          <w:szCs w:val="24"/>
        </w:rPr>
        <w:t xml:space="preserve">The </w:t>
      </w:r>
      <w:r w:rsidR="009E28C2" w:rsidRPr="00165B05">
        <w:rPr>
          <w:sz w:val="24"/>
          <w:szCs w:val="24"/>
        </w:rPr>
        <w:t xml:space="preserve">previous </w:t>
      </w:r>
      <w:r w:rsidRPr="00165B05">
        <w:rPr>
          <w:sz w:val="24"/>
          <w:szCs w:val="24"/>
        </w:rPr>
        <w:t xml:space="preserve">HMRC </w:t>
      </w:r>
      <w:r w:rsidR="009E28C2" w:rsidRPr="00165B05">
        <w:rPr>
          <w:sz w:val="24"/>
          <w:szCs w:val="24"/>
        </w:rPr>
        <w:t xml:space="preserve">series on </w:t>
      </w:r>
      <w:r w:rsidRPr="00165B05">
        <w:rPr>
          <w:sz w:val="24"/>
          <w:szCs w:val="24"/>
        </w:rPr>
        <w:t xml:space="preserve">children </w:t>
      </w:r>
      <w:r w:rsidR="009E28C2" w:rsidRPr="00165B05">
        <w:rPr>
          <w:sz w:val="24"/>
          <w:szCs w:val="24"/>
        </w:rPr>
        <w:t>in low income families</w:t>
      </w:r>
      <w:r w:rsidRPr="00165B05">
        <w:rPr>
          <w:sz w:val="24"/>
          <w:szCs w:val="24"/>
        </w:rPr>
        <w:t xml:space="preserve"> drew partially on tax credit information for working </w:t>
      </w:r>
      <w:proofErr w:type="gramStart"/>
      <w:r w:rsidRPr="00165B05">
        <w:rPr>
          <w:sz w:val="24"/>
          <w:szCs w:val="24"/>
        </w:rPr>
        <w:t>families, but</w:t>
      </w:r>
      <w:proofErr w:type="gramEnd"/>
      <w:r w:rsidRPr="00165B05">
        <w:rPr>
          <w:sz w:val="24"/>
          <w:szCs w:val="24"/>
        </w:rPr>
        <w:t xml:space="preserve"> produced an account of child poverty in working and non-working families that corresponded poorly with more direct survey evidence.</w:t>
      </w:r>
      <w:r w:rsidR="000A189A">
        <w:rPr>
          <w:sz w:val="24"/>
          <w:szCs w:val="24"/>
        </w:rPr>
        <w:t xml:space="preserve"> </w:t>
      </w:r>
      <w:r w:rsidRPr="00165B05">
        <w:rPr>
          <w:sz w:val="24"/>
          <w:szCs w:val="24"/>
        </w:rPr>
        <w:t xml:space="preserve"> In contrast, the new indicators look directly at most of the income sources reported for tax, tax credit and benefit purposes for individual families. Unlike surveys, they cover the whole population not just a sample, and can therefore be </w:t>
      </w:r>
      <w:r w:rsidR="005D0440" w:rsidRPr="00165B05">
        <w:rPr>
          <w:sz w:val="24"/>
          <w:szCs w:val="24"/>
        </w:rPr>
        <w:t>considered at the very local level.</w:t>
      </w:r>
      <w:r w:rsidR="009E28C2" w:rsidRPr="00165B05">
        <w:rPr>
          <w:sz w:val="24"/>
          <w:szCs w:val="24"/>
        </w:rPr>
        <w:t xml:space="preserve"> </w:t>
      </w:r>
      <w:r w:rsidR="000A189A">
        <w:rPr>
          <w:sz w:val="24"/>
          <w:szCs w:val="24"/>
        </w:rPr>
        <w:t xml:space="preserve"> </w:t>
      </w:r>
      <w:r w:rsidR="009E28C2" w:rsidRPr="00165B05">
        <w:rPr>
          <w:sz w:val="24"/>
          <w:szCs w:val="24"/>
        </w:rPr>
        <w:t xml:space="preserve">Since these advantages create a stronger basis for estimating local child poverty than previously available, it can be considered superior to the previous modelled estimates prepared for End Child </w:t>
      </w:r>
      <w:proofErr w:type="gramStart"/>
      <w:r w:rsidR="009E28C2" w:rsidRPr="00165B05">
        <w:rPr>
          <w:sz w:val="24"/>
          <w:szCs w:val="24"/>
        </w:rPr>
        <w:t>Poverty, and</w:t>
      </w:r>
      <w:proofErr w:type="gramEnd"/>
      <w:r w:rsidR="009E28C2" w:rsidRPr="00165B05">
        <w:rPr>
          <w:sz w:val="24"/>
          <w:szCs w:val="24"/>
        </w:rPr>
        <w:t xml:space="preserve"> should be the starting point for </w:t>
      </w:r>
      <w:r w:rsidR="00EF1539" w:rsidRPr="00165B05">
        <w:rPr>
          <w:sz w:val="24"/>
          <w:szCs w:val="24"/>
        </w:rPr>
        <w:t xml:space="preserve">any </w:t>
      </w:r>
      <w:r w:rsidR="009E28C2" w:rsidRPr="00165B05">
        <w:rPr>
          <w:sz w:val="24"/>
          <w:szCs w:val="24"/>
        </w:rPr>
        <w:t xml:space="preserve">future </w:t>
      </w:r>
      <w:r w:rsidR="00EF1539" w:rsidRPr="00165B05">
        <w:rPr>
          <w:sz w:val="24"/>
          <w:szCs w:val="24"/>
        </w:rPr>
        <w:t>indicators</w:t>
      </w:r>
      <w:r w:rsidR="009E28C2" w:rsidRPr="00165B05">
        <w:rPr>
          <w:sz w:val="24"/>
          <w:szCs w:val="24"/>
        </w:rPr>
        <w:t xml:space="preserve">. </w:t>
      </w:r>
      <w:r w:rsidR="000A189A">
        <w:rPr>
          <w:sz w:val="24"/>
          <w:szCs w:val="24"/>
        </w:rPr>
        <w:t xml:space="preserve"> </w:t>
      </w:r>
    </w:p>
    <w:p w14:paraId="6949C250" w14:textId="77777777" w:rsidR="00C44973" w:rsidRPr="00165B05" w:rsidRDefault="00C44973" w:rsidP="00C44973">
      <w:pPr>
        <w:spacing w:after="0" w:line="240" w:lineRule="auto"/>
        <w:rPr>
          <w:sz w:val="24"/>
          <w:szCs w:val="24"/>
        </w:rPr>
      </w:pPr>
    </w:p>
    <w:p w14:paraId="4B96EA8C" w14:textId="1EB30176" w:rsidR="005D0440" w:rsidRPr="00165B05" w:rsidRDefault="005D0440" w:rsidP="00C44973">
      <w:pPr>
        <w:spacing w:after="0" w:line="240" w:lineRule="auto"/>
        <w:rPr>
          <w:sz w:val="24"/>
          <w:szCs w:val="24"/>
        </w:rPr>
      </w:pPr>
      <w:r w:rsidRPr="00165B05">
        <w:rPr>
          <w:sz w:val="24"/>
          <w:szCs w:val="24"/>
        </w:rPr>
        <w:t xml:space="preserve">The basis for the new method is summarised in the appendix below. </w:t>
      </w:r>
      <w:r w:rsidR="000A189A">
        <w:rPr>
          <w:sz w:val="24"/>
          <w:szCs w:val="24"/>
        </w:rPr>
        <w:t xml:space="preserve"> </w:t>
      </w:r>
      <w:r w:rsidRPr="00165B05">
        <w:rPr>
          <w:sz w:val="24"/>
          <w:szCs w:val="24"/>
        </w:rPr>
        <w:t xml:space="preserve">This paper and accompanying tables take a first look at the results. </w:t>
      </w:r>
      <w:r w:rsidR="000A189A">
        <w:rPr>
          <w:sz w:val="24"/>
          <w:szCs w:val="24"/>
        </w:rPr>
        <w:t xml:space="preserve"> </w:t>
      </w:r>
      <w:r w:rsidRPr="00165B05">
        <w:rPr>
          <w:sz w:val="24"/>
          <w:szCs w:val="24"/>
        </w:rPr>
        <w:t>More detailed analysis will follow later in 2020, subject to data access related to the Covid-19 shutdown.</w:t>
      </w:r>
      <w:r w:rsidR="000A189A">
        <w:rPr>
          <w:sz w:val="24"/>
          <w:szCs w:val="24"/>
        </w:rPr>
        <w:t xml:space="preserve"> </w:t>
      </w:r>
      <w:r w:rsidRPr="00165B05">
        <w:rPr>
          <w:sz w:val="24"/>
          <w:szCs w:val="24"/>
        </w:rPr>
        <w:t xml:space="preserve"> For the purposes of this initial summary, the following </w:t>
      </w:r>
      <w:r w:rsidR="005753DB" w:rsidRPr="00165B05">
        <w:rPr>
          <w:sz w:val="24"/>
          <w:szCs w:val="24"/>
        </w:rPr>
        <w:t xml:space="preserve">four important </w:t>
      </w:r>
      <w:r w:rsidRPr="00165B05">
        <w:rPr>
          <w:sz w:val="24"/>
          <w:szCs w:val="24"/>
        </w:rPr>
        <w:t>aspects of the current results should be noted.</w:t>
      </w:r>
      <w:r w:rsidR="000A189A">
        <w:rPr>
          <w:sz w:val="24"/>
          <w:szCs w:val="24"/>
        </w:rPr>
        <w:t xml:space="preserve">  </w:t>
      </w:r>
    </w:p>
    <w:p w14:paraId="00BA987B" w14:textId="77777777" w:rsidR="00C44973" w:rsidRPr="00165B05" w:rsidRDefault="00C44973" w:rsidP="00C44973">
      <w:pPr>
        <w:spacing w:after="0" w:line="240" w:lineRule="auto"/>
        <w:rPr>
          <w:sz w:val="24"/>
          <w:szCs w:val="24"/>
        </w:rPr>
      </w:pPr>
    </w:p>
    <w:p w14:paraId="6ADA8399" w14:textId="489D3799" w:rsidR="00F70EE3" w:rsidRPr="00165B05" w:rsidRDefault="005753DB" w:rsidP="00C44973">
      <w:pPr>
        <w:pStyle w:val="ListParagraph"/>
        <w:numPr>
          <w:ilvl w:val="0"/>
          <w:numId w:val="3"/>
        </w:numPr>
        <w:spacing w:after="0" w:line="240" w:lineRule="auto"/>
        <w:ind w:left="567" w:hanging="567"/>
        <w:rPr>
          <w:sz w:val="24"/>
          <w:szCs w:val="24"/>
        </w:rPr>
      </w:pPr>
      <w:r w:rsidRPr="00165B05">
        <w:rPr>
          <w:b/>
          <w:bCs/>
          <w:sz w:val="24"/>
          <w:szCs w:val="24"/>
        </w:rPr>
        <w:t xml:space="preserve">AHC or BHC? </w:t>
      </w:r>
      <w:r w:rsidR="005D0440" w:rsidRPr="00165B05">
        <w:rPr>
          <w:sz w:val="24"/>
          <w:szCs w:val="24"/>
        </w:rPr>
        <w:t>The dataset is based on a ‘before housing cost’</w:t>
      </w:r>
      <w:r w:rsidR="00F70EE3" w:rsidRPr="00165B05">
        <w:rPr>
          <w:sz w:val="24"/>
          <w:szCs w:val="24"/>
        </w:rPr>
        <w:t xml:space="preserve"> (BHC)</w:t>
      </w:r>
      <w:r w:rsidR="005D0440" w:rsidRPr="00165B05">
        <w:rPr>
          <w:sz w:val="24"/>
          <w:szCs w:val="24"/>
        </w:rPr>
        <w:t xml:space="preserve"> estimate of relative poverty (specifically, the percentage of children living in households below 60% median equivalised income). </w:t>
      </w:r>
      <w:r w:rsidR="000A189A">
        <w:rPr>
          <w:sz w:val="24"/>
          <w:szCs w:val="24"/>
        </w:rPr>
        <w:t xml:space="preserve"> </w:t>
      </w:r>
      <w:r w:rsidR="005D0440" w:rsidRPr="00165B05">
        <w:rPr>
          <w:sz w:val="24"/>
          <w:szCs w:val="24"/>
        </w:rPr>
        <w:t xml:space="preserve">This measure takes no account of the effect on disposable income of some households having to pay a lot more in rent or mortgage payments than others.  This is because unlike in a survey, the information collected by the benefits and tax authorities does not systematically include people’s housing costs. </w:t>
      </w:r>
      <w:r w:rsidR="000A189A">
        <w:rPr>
          <w:sz w:val="24"/>
          <w:szCs w:val="24"/>
        </w:rPr>
        <w:t xml:space="preserve"> </w:t>
      </w:r>
      <w:r w:rsidR="00F70EE3" w:rsidRPr="00165B05">
        <w:rPr>
          <w:sz w:val="24"/>
          <w:szCs w:val="24"/>
        </w:rPr>
        <w:t>For this reason, comparison of the overall levels of child poverty shown in different parts of the country using this measure need to be treated with caution.</w:t>
      </w:r>
      <w:r w:rsidR="000A189A">
        <w:rPr>
          <w:sz w:val="24"/>
          <w:szCs w:val="24"/>
        </w:rPr>
        <w:t xml:space="preserve"> </w:t>
      </w:r>
      <w:r w:rsidR="00F70EE3" w:rsidRPr="00165B05">
        <w:rPr>
          <w:sz w:val="24"/>
          <w:szCs w:val="24"/>
        </w:rPr>
        <w:t xml:space="preserve"> In our subsequent analysis, we plan to estimate the ‘after housing cost’ (AHC) child </w:t>
      </w:r>
      <w:r w:rsidR="00F70EE3" w:rsidRPr="00165B05">
        <w:rPr>
          <w:sz w:val="24"/>
          <w:szCs w:val="24"/>
        </w:rPr>
        <w:lastRenderedPageBreak/>
        <w:t>poverty rates by area, drawing on survey data of the relationship between average local housing costs and the difference between the AHC and BHC rates.</w:t>
      </w:r>
      <w:r w:rsidR="000A189A">
        <w:rPr>
          <w:sz w:val="24"/>
          <w:szCs w:val="24"/>
        </w:rPr>
        <w:t xml:space="preserve">  </w:t>
      </w:r>
    </w:p>
    <w:p w14:paraId="7AEFE884" w14:textId="77777777" w:rsidR="00F70EE3" w:rsidRPr="00165B05" w:rsidRDefault="00F70EE3" w:rsidP="00C44973">
      <w:pPr>
        <w:pStyle w:val="ListParagraph"/>
        <w:spacing w:after="0" w:line="240" w:lineRule="auto"/>
        <w:ind w:left="567" w:hanging="567"/>
        <w:rPr>
          <w:sz w:val="24"/>
          <w:szCs w:val="24"/>
        </w:rPr>
      </w:pPr>
    </w:p>
    <w:p w14:paraId="15E49890" w14:textId="3B14A134" w:rsidR="00F70EE3" w:rsidRPr="00165B05" w:rsidRDefault="005753DB" w:rsidP="00C44973">
      <w:pPr>
        <w:pStyle w:val="ListParagraph"/>
        <w:numPr>
          <w:ilvl w:val="0"/>
          <w:numId w:val="3"/>
        </w:numPr>
        <w:spacing w:after="0" w:line="240" w:lineRule="auto"/>
        <w:ind w:left="567" w:hanging="567"/>
        <w:rPr>
          <w:sz w:val="24"/>
          <w:szCs w:val="24"/>
        </w:rPr>
      </w:pPr>
      <w:r w:rsidRPr="00165B05">
        <w:rPr>
          <w:b/>
          <w:bCs/>
          <w:sz w:val="24"/>
          <w:szCs w:val="24"/>
        </w:rPr>
        <w:t xml:space="preserve">Change over time: </w:t>
      </w:r>
      <w:r w:rsidR="00F70EE3" w:rsidRPr="00165B05">
        <w:rPr>
          <w:sz w:val="24"/>
          <w:szCs w:val="24"/>
        </w:rPr>
        <w:t xml:space="preserve">While the currently available data thus have limited value in identifying the areas where the effects of child poverty are most severe, </w:t>
      </w:r>
      <w:r w:rsidRPr="00165B05">
        <w:rPr>
          <w:sz w:val="24"/>
          <w:szCs w:val="24"/>
        </w:rPr>
        <w:t>they</w:t>
      </w:r>
      <w:r w:rsidR="00F70EE3" w:rsidRPr="00165B05">
        <w:rPr>
          <w:sz w:val="24"/>
          <w:szCs w:val="24"/>
        </w:rPr>
        <w:t xml:space="preserve"> provide useful information on the change in individual areas over time.</w:t>
      </w:r>
      <w:r w:rsidR="000A189A">
        <w:rPr>
          <w:sz w:val="24"/>
          <w:szCs w:val="24"/>
        </w:rPr>
        <w:t xml:space="preserve"> </w:t>
      </w:r>
      <w:r w:rsidR="00F70EE3" w:rsidRPr="00165B05">
        <w:rPr>
          <w:sz w:val="24"/>
          <w:szCs w:val="24"/>
        </w:rPr>
        <w:t xml:space="preserve"> Covering a four-year period from 2014/15 to 201</w:t>
      </w:r>
      <w:r w:rsidR="00911F8E" w:rsidRPr="00165B05">
        <w:rPr>
          <w:sz w:val="24"/>
          <w:szCs w:val="24"/>
        </w:rPr>
        <w:t xml:space="preserve">8/19, it provides for the first time a consistent basis for looking at local change based directly on the measurement of families’ incomes. </w:t>
      </w:r>
      <w:r w:rsidR="000A189A">
        <w:rPr>
          <w:sz w:val="24"/>
          <w:szCs w:val="24"/>
        </w:rPr>
        <w:t xml:space="preserve"> </w:t>
      </w:r>
      <w:r w:rsidR="00911F8E" w:rsidRPr="00165B05">
        <w:rPr>
          <w:sz w:val="24"/>
          <w:szCs w:val="24"/>
        </w:rPr>
        <w:t>During a period when child poverty has been rising, this gives an indication of which local authorities and parliamentary constituencies it has done so fastest.</w:t>
      </w:r>
      <w:r w:rsidR="000A189A">
        <w:rPr>
          <w:sz w:val="24"/>
          <w:szCs w:val="24"/>
        </w:rPr>
        <w:t xml:space="preserve">  </w:t>
      </w:r>
    </w:p>
    <w:p w14:paraId="1F73F439" w14:textId="77777777" w:rsidR="00911F8E" w:rsidRPr="00165B05" w:rsidRDefault="00911F8E" w:rsidP="00C44973">
      <w:pPr>
        <w:pStyle w:val="ListParagraph"/>
        <w:spacing w:after="0" w:line="240" w:lineRule="auto"/>
        <w:ind w:left="567" w:hanging="567"/>
        <w:rPr>
          <w:sz w:val="24"/>
          <w:szCs w:val="24"/>
        </w:rPr>
      </w:pPr>
    </w:p>
    <w:p w14:paraId="5929461F" w14:textId="727E86C9" w:rsidR="00911F8E" w:rsidRPr="00165B05" w:rsidRDefault="005753DB" w:rsidP="00C44973">
      <w:pPr>
        <w:pStyle w:val="ListParagraph"/>
        <w:numPr>
          <w:ilvl w:val="0"/>
          <w:numId w:val="3"/>
        </w:numPr>
        <w:spacing w:after="0" w:line="240" w:lineRule="auto"/>
        <w:ind w:left="567" w:hanging="567"/>
        <w:rPr>
          <w:sz w:val="24"/>
          <w:szCs w:val="24"/>
        </w:rPr>
      </w:pPr>
      <w:r w:rsidRPr="00165B05">
        <w:rPr>
          <w:b/>
          <w:bCs/>
          <w:sz w:val="24"/>
          <w:szCs w:val="24"/>
        </w:rPr>
        <w:t xml:space="preserve">Limits to measuring changes: </w:t>
      </w:r>
      <w:r w:rsidRPr="00165B05">
        <w:rPr>
          <w:sz w:val="24"/>
          <w:szCs w:val="24"/>
        </w:rPr>
        <w:t>Despite this new opportunity to measure change over time</w:t>
      </w:r>
      <w:r w:rsidR="00244315" w:rsidRPr="00165B05">
        <w:rPr>
          <w:sz w:val="24"/>
          <w:szCs w:val="24"/>
        </w:rPr>
        <w:t xml:space="preserve">, we must still be cautious about interpreting </w:t>
      </w:r>
      <w:r w:rsidRPr="00165B05">
        <w:rPr>
          <w:sz w:val="24"/>
          <w:szCs w:val="24"/>
        </w:rPr>
        <w:t xml:space="preserve">such </w:t>
      </w:r>
      <w:r w:rsidR="00244315" w:rsidRPr="00165B05">
        <w:rPr>
          <w:sz w:val="24"/>
          <w:szCs w:val="24"/>
        </w:rPr>
        <w:t xml:space="preserve">change at the most local levels. </w:t>
      </w:r>
      <w:r w:rsidR="000A189A">
        <w:rPr>
          <w:sz w:val="24"/>
          <w:szCs w:val="24"/>
        </w:rPr>
        <w:t xml:space="preserve"> </w:t>
      </w:r>
      <w:r w:rsidR="00244315" w:rsidRPr="00165B05">
        <w:rPr>
          <w:sz w:val="24"/>
          <w:szCs w:val="24"/>
        </w:rPr>
        <w:t>The figures use mid-year population estimates to calculate percentage rates.</w:t>
      </w:r>
      <w:r w:rsidR="000A189A">
        <w:rPr>
          <w:sz w:val="24"/>
          <w:szCs w:val="24"/>
        </w:rPr>
        <w:t xml:space="preserve"> </w:t>
      </w:r>
      <w:r w:rsidR="00244315" w:rsidRPr="00165B05">
        <w:rPr>
          <w:sz w:val="24"/>
          <w:szCs w:val="24"/>
        </w:rPr>
        <w:t xml:space="preserve"> These estimates, which are not based on direct data collection in between censuses, do not immediately reflect changes </w:t>
      </w:r>
      <w:r w:rsidRPr="00165B05">
        <w:rPr>
          <w:sz w:val="24"/>
          <w:szCs w:val="24"/>
        </w:rPr>
        <w:t xml:space="preserve">that can have significant effects on the child population at ward level  or below - </w:t>
      </w:r>
      <w:r w:rsidR="00244315" w:rsidRPr="00165B05">
        <w:rPr>
          <w:sz w:val="24"/>
          <w:szCs w:val="24"/>
        </w:rPr>
        <w:t>such as the bui</w:t>
      </w:r>
      <w:r w:rsidR="004875F5" w:rsidRPr="00165B05">
        <w:rPr>
          <w:sz w:val="24"/>
          <w:szCs w:val="24"/>
        </w:rPr>
        <w:t xml:space="preserve">lding of new homes or </w:t>
      </w:r>
      <w:r w:rsidRPr="00165B05">
        <w:rPr>
          <w:sz w:val="24"/>
          <w:szCs w:val="24"/>
        </w:rPr>
        <w:t>the rise or fall of the concentration of families with children in an area</w:t>
      </w:r>
      <w:r w:rsidR="00AD4FBC">
        <w:rPr>
          <w:rStyle w:val="FootnoteReference"/>
          <w:sz w:val="24"/>
          <w:szCs w:val="24"/>
        </w:rPr>
        <w:footnoteReference w:id="1"/>
      </w:r>
      <w:r w:rsidR="004875F5" w:rsidRPr="00165B05">
        <w:rPr>
          <w:sz w:val="24"/>
          <w:szCs w:val="24"/>
        </w:rPr>
        <w:t xml:space="preserve">. </w:t>
      </w:r>
      <w:r w:rsidR="000A189A">
        <w:rPr>
          <w:sz w:val="24"/>
          <w:szCs w:val="24"/>
        </w:rPr>
        <w:t xml:space="preserve"> </w:t>
      </w:r>
      <w:r w:rsidR="004875F5" w:rsidRPr="00165B05">
        <w:rPr>
          <w:sz w:val="24"/>
          <w:szCs w:val="24"/>
        </w:rPr>
        <w:t>For this reason, we only show change at local authority and parliamentary constituency levels.</w:t>
      </w:r>
      <w:r w:rsidR="000A189A">
        <w:rPr>
          <w:sz w:val="24"/>
          <w:szCs w:val="24"/>
        </w:rPr>
        <w:t xml:space="preserve">  </w:t>
      </w:r>
    </w:p>
    <w:p w14:paraId="79263F4A" w14:textId="77777777" w:rsidR="004875F5" w:rsidRPr="00165B05" w:rsidRDefault="004875F5" w:rsidP="00C44973">
      <w:pPr>
        <w:pStyle w:val="ListParagraph"/>
        <w:spacing w:after="0" w:line="240" w:lineRule="auto"/>
        <w:ind w:left="567" w:hanging="567"/>
        <w:rPr>
          <w:sz w:val="24"/>
          <w:szCs w:val="24"/>
        </w:rPr>
      </w:pPr>
    </w:p>
    <w:p w14:paraId="3F3897D9" w14:textId="53F55D30" w:rsidR="004875F5" w:rsidRPr="00165B05" w:rsidRDefault="005753DB" w:rsidP="00C44973">
      <w:pPr>
        <w:pStyle w:val="ListParagraph"/>
        <w:numPr>
          <w:ilvl w:val="0"/>
          <w:numId w:val="3"/>
        </w:numPr>
        <w:spacing w:after="0" w:line="240" w:lineRule="auto"/>
        <w:ind w:left="567" w:hanging="567"/>
        <w:rPr>
          <w:sz w:val="24"/>
          <w:szCs w:val="24"/>
        </w:rPr>
      </w:pPr>
      <w:r w:rsidRPr="00165B05">
        <w:rPr>
          <w:b/>
          <w:bCs/>
          <w:sz w:val="24"/>
          <w:szCs w:val="24"/>
        </w:rPr>
        <w:t xml:space="preserve">Tracking the distribution: </w:t>
      </w:r>
      <w:r w:rsidR="004875F5" w:rsidRPr="00165B05">
        <w:rPr>
          <w:sz w:val="24"/>
          <w:szCs w:val="24"/>
        </w:rPr>
        <w:t>While changes in child poverty rates in some individual wards are likely to be accurate, ward-level data can show useful information about trends in the overall distribution of child poverty.</w:t>
      </w:r>
      <w:r w:rsidR="000A189A">
        <w:rPr>
          <w:sz w:val="24"/>
          <w:szCs w:val="24"/>
        </w:rPr>
        <w:t xml:space="preserve"> </w:t>
      </w:r>
      <w:r w:rsidR="004875F5" w:rsidRPr="00165B05">
        <w:rPr>
          <w:sz w:val="24"/>
          <w:szCs w:val="24"/>
        </w:rPr>
        <w:t xml:space="preserve"> An important reason for tracking local poverty data is to monitor whether the overall concentration of child poverty is changing. Is the problem becoming </w:t>
      </w:r>
      <w:proofErr w:type="gramStart"/>
      <w:r w:rsidR="004875F5" w:rsidRPr="00165B05">
        <w:rPr>
          <w:sz w:val="24"/>
          <w:szCs w:val="24"/>
        </w:rPr>
        <w:t>more or less concentrated</w:t>
      </w:r>
      <w:proofErr w:type="gramEnd"/>
      <w:r w:rsidR="004875F5" w:rsidRPr="00165B05">
        <w:rPr>
          <w:sz w:val="24"/>
          <w:szCs w:val="24"/>
        </w:rPr>
        <w:t xml:space="preserve"> across the country? </w:t>
      </w:r>
      <w:r w:rsidR="000A189A">
        <w:rPr>
          <w:sz w:val="24"/>
          <w:szCs w:val="24"/>
        </w:rPr>
        <w:t xml:space="preserve"> </w:t>
      </w:r>
      <w:r w:rsidR="004875F5" w:rsidRPr="00165B05">
        <w:rPr>
          <w:sz w:val="24"/>
          <w:szCs w:val="24"/>
        </w:rPr>
        <w:t xml:space="preserve">Overall measures of spatial inequalities can show this, regardless of which specific areas are seeing the greatest changes.  Like measures of income inequality such as the Gini coefficient, they tell us whether we are becoming </w:t>
      </w:r>
      <w:proofErr w:type="gramStart"/>
      <w:r w:rsidR="004875F5" w:rsidRPr="00165B05">
        <w:rPr>
          <w:sz w:val="24"/>
          <w:szCs w:val="24"/>
        </w:rPr>
        <w:t>more or less equal</w:t>
      </w:r>
      <w:proofErr w:type="gramEnd"/>
      <w:r w:rsidR="004875F5" w:rsidRPr="00165B05">
        <w:rPr>
          <w:sz w:val="24"/>
          <w:szCs w:val="24"/>
        </w:rPr>
        <w:t xml:space="preserve"> as a society.</w:t>
      </w:r>
      <w:r w:rsidR="000A189A">
        <w:rPr>
          <w:sz w:val="24"/>
          <w:szCs w:val="24"/>
        </w:rPr>
        <w:t xml:space="preserve">  </w:t>
      </w:r>
    </w:p>
    <w:p w14:paraId="47637776" w14:textId="77777777" w:rsidR="004875F5" w:rsidRPr="00165B05" w:rsidRDefault="004875F5" w:rsidP="00C44973">
      <w:pPr>
        <w:pStyle w:val="ListParagraph"/>
        <w:spacing w:after="0" w:line="240" w:lineRule="auto"/>
        <w:ind w:left="567" w:hanging="567"/>
        <w:rPr>
          <w:sz w:val="24"/>
          <w:szCs w:val="24"/>
        </w:rPr>
      </w:pPr>
    </w:p>
    <w:p w14:paraId="06E9836C" w14:textId="2191E02A" w:rsidR="004875F5" w:rsidRPr="00165B05" w:rsidRDefault="005753DB" w:rsidP="00C44973">
      <w:pPr>
        <w:pStyle w:val="ListParagraph"/>
        <w:numPr>
          <w:ilvl w:val="0"/>
          <w:numId w:val="1"/>
        </w:numPr>
        <w:spacing w:after="0" w:line="240" w:lineRule="auto"/>
        <w:ind w:left="567" w:hanging="567"/>
        <w:rPr>
          <w:b/>
          <w:bCs/>
          <w:sz w:val="24"/>
          <w:szCs w:val="24"/>
        </w:rPr>
      </w:pPr>
      <w:r w:rsidRPr="00165B05">
        <w:rPr>
          <w:b/>
          <w:bCs/>
          <w:sz w:val="24"/>
          <w:szCs w:val="24"/>
        </w:rPr>
        <w:t>Local authority and parliamentary constituency rates, 2014/15 to 2018/19</w:t>
      </w:r>
    </w:p>
    <w:p w14:paraId="246C33EA" w14:textId="77777777" w:rsidR="00911F8E" w:rsidRPr="00165B05" w:rsidRDefault="00911F8E" w:rsidP="00C44973">
      <w:pPr>
        <w:spacing w:after="0" w:line="240" w:lineRule="auto"/>
        <w:rPr>
          <w:sz w:val="24"/>
          <w:szCs w:val="24"/>
        </w:rPr>
      </w:pPr>
    </w:p>
    <w:p w14:paraId="0923B40C" w14:textId="4B75A8DC" w:rsidR="00901E8E" w:rsidRPr="00165B05" w:rsidRDefault="00F13AC4" w:rsidP="00C44973">
      <w:pPr>
        <w:spacing w:after="0" w:line="240" w:lineRule="auto"/>
        <w:rPr>
          <w:sz w:val="24"/>
          <w:szCs w:val="24"/>
        </w:rPr>
      </w:pPr>
      <w:hyperlink r:id="rId12" w:history="1">
        <w:r w:rsidR="005753DB" w:rsidRPr="00F13AC4">
          <w:rPr>
            <w:rStyle w:val="Hyperlink"/>
            <w:sz w:val="24"/>
            <w:szCs w:val="24"/>
          </w:rPr>
          <w:t>Data tables 1 and 2</w:t>
        </w:r>
      </w:hyperlink>
      <w:r w:rsidR="005753DB" w:rsidRPr="00165B05">
        <w:rPr>
          <w:sz w:val="24"/>
          <w:szCs w:val="24"/>
        </w:rPr>
        <w:t xml:space="preserve"> show</w:t>
      </w:r>
      <w:r w:rsidR="00901E8E" w:rsidRPr="00165B05">
        <w:rPr>
          <w:sz w:val="24"/>
          <w:szCs w:val="24"/>
        </w:rPr>
        <w:t>, for each local authority and parliamentary constituency in Great Britain, the estimated percentage of children under the age of 16 who live in households with below 60% of median income BHC.</w:t>
      </w:r>
      <w:r w:rsidR="000A189A">
        <w:rPr>
          <w:sz w:val="24"/>
          <w:szCs w:val="24"/>
        </w:rPr>
        <w:t xml:space="preserve"> </w:t>
      </w:r>
      <w:r w:rsidR="00901E8E" w:rsidRPr="00165B05">
        <w:rPr>
          <w:sz w:val="24"/>
          <w:szCs w:val="24"/>
        </w:rPr>
        <w:t xml:space="preserve"> (The series is not available for Northern Ireland).</w:t>
      </w:r>
    </w:p>
    <w:p w14:paraId="1CBBB494" w14:textId="77777777" w:rsidR="00C44973" w:rsidRPr="00165B05" w:rsidRDefault="00C44973" w:rsidP="00C44973">
      <w:pPr>
        <w:spacing w:after="0" w:line="240" w:lineRule="auto"/>
        <w:rPr>
          <w:sz w:val="24"/>
          <w:szCs w:val="24"/>
        </w:rPr>
      </w:pPr>
    </w:p>
    <w:p w14:paraId="2C62219A" w14:textId="457EDE54" w:rsidR="00EF1539" w:rsidRPr="00165B05" w:rsidRDefault="00EF1539" w:rsidP="00C44973">
      <w:pPr>
        <w:spacing w:after="0" w:line="240" w:lineRule="auto"/>
        <w:rPr>
          <w:sz w:val="24"/>
          <w:szCs w:val="24"/>
        </w:rPr>
      </w:pPr>
      <w:r w:rsidRPr="00165B05">
        <w:rPr>
          <w:sz w:val="24"/>
          <w:szCs w:val="24"/>
        </w:rPr>
        <w:t>Because these tables are only able to look at child poverty before housing costs, they underestimate the relative importance of child poverty in London</w:t>
      </w:r>
      <w:r w:rsidR="00DE55D9" w:rsidRPr="00165B05">
        <w:rPr>
          <w:sz w:val="24"/>
          <w:szCs w:val="24"/>
        </w:rPr>
        <w:t xml:space="preserve">, because they do not take account of </w:t>
      </w:r>
      <w:r w:rsidR="00211A9F" w:rsidRPr="00165B05">
        <w:rPr>
          <w:sz w:val="24"/>
          <w:szCs w:val="24"/>
        </w:rPr>
        <w:t>the effect of high housing costs on family living standards there</w:t>
      </w:r>
      <w:r w:rsidRPr="00165B05">
        <w:rPr>
          <w:sz w:val="24"/>
          <w:szCs w:val="24"/>
        </w:rPr>
        <w:t xml:space="preserve">. </w:t>
      </w:r>
      <w:r w:rsidR="000A189A">
        <w:rPr>
          <w:sz w:val="24"/>
          <w:szCs w:val="24"/>
        </w:rPr>
        <w:t xml:space="preserve"> </w:t>
      </w:r>
      <w:r w:rsidRPr="00165B05">
        <w:rPr>
          <w:sz w:val="24"/>
          <w:szCs w:val="24"/>
        </w:rPr>
        <w:t xml:space="preserve">In the 2019 ECP indictors based on modelled child poverty rates, four of the top six parliamentary constituencies and all of the top four local authorities with the highest AHC poverty rates were in London, but this was true of only one constituency and one local authority in the top 20 when measured BHC. </w:t>
      </w:r>
      <w:r w:rsidR="000A189A">
        <w:rPr>
          <w:sz w:val="24"/>
          <w:szCs w:val="24"/>
        </w:rPr>
        <w:t xml:space="preserve"> </w:t>
      </w:r>
      <w:r w:rsidRPr="00165B05">
        <w:rPr>
          <w:sz w:val="24"/>
          <w:szCs w:val="24"/>
        </w:rPr>
        <w:t xml:space="preserve">Similarly, in the present figures, </w:t>
      </w:r>
      <w:r w:rsidR="00AF16FD" w:rsidRPr="00165B05">
        <w:rPr>
          <w:sz w:val="24"/>
          <w:szCs w:val="24"/>
        </w:rPr>
        <w:t>child poverty (BHC)</w:t>
      </w:r>
      <w:r w:rsidRPr="00165B05">
        <w:rPr>
          <w:sz w:val="24"/>
          <w:szCs w:val="24"/>
        </w:rPr>
        <w:t xml:space="preserve"> figures</w:t>
      </w:r>
      <w:r w:rsidR="00DA322C" w:rsidRPr="00165B05">
        <w:rPr>
          <w:sz w:val="24"/>
          <w:szCs w:val="24"/>
        </w:rPr>
        <w:t xml:space="preserve">, all the areas with the highest rates are in conurbations in the Midlands, Northern </w:t>
      </w:r>
      <w:proofErr w:type="gramStart"/>
      <w:r w:rsidR="00DA322C" w:rsidRPr="00165B05">
        <w:rPr>
          <w:sz w:val="24"/>
          <w:szCs w:val="24"/>
        </w:rPr>
        <w:t>England</w:t>
      </w:r>
      <w:proofErr w:type="gramEnd"/>
      <w:r w:rsidR="00DA322C" w:rsidRPr="00165B05">
        <w:rPr>
          <w:sz w:val="24"/>
          <w:szCs w:val="24"/>
        </w:rPr>
        <w:t xml:space="preserve"> and Scotland and none in London</w:t>
      </w:r>
      <w:r w:rsidR="00DE55D9" w:rsidRPr="00165B05">
        <w:rPr>
          <w:sz w:val="24"/>
          <w:szCs w:val="24"/>
        </w:rPr>
        <w:t>.</w:t>
      </w:r>
      <w:r w:rsidRPr="00165B05">
        <w:rPr>
          <w:sz w:val="24"/>
          <w:szCs w:val="24"/>
        </w:rPr>
        <w:t xml:space="preserve"> </w:t>
      </w:r>
      <w:r w:rsidR="000A189A">
        <w:rPr>
          <w:sz w:val="24"/>
          <w:szCs w:val="24"/>
        </w:rPr>
        <w:t xml:space="preserve"> </w:t>
      </w:r>
    </w:p>
    <w:p w14:paraId="10970B8C" w14:textId="77777777" w:rsidR="00C44973" w:rsidRPr="00165B05" w:rsidRDefault="00C44973" w:rsidP="00C44973">
      <w:pPr>
        <w:spacing w:after="0" w:line="240" w:lineRule="auto"/>
        <w:rPr>
          <w:sz w:val="24"/>
          <w:szCs w:val="24"/>
        </w:rPr>
      </w:pPr>
    </w:p>
    <w:p w14:paraId="0498E207" w14:textId="78C169F0" w:rsidR="00C445C2" w:rsidRPr="00165B05" w:rsidRDefault="00C445C2" w:rsidP="00C44973">
      <w:pPr>
        <w:spacing w:after="0" w:line="240" w:lineRule="auto"/>
        <w:rPr>
          <w:sz w:val="24"/>
          <w:szCs w:val="24"/>
        </w:rPr>
      </w:pPr>
      <w:r w:rsidRPr="00165B05">
        <w:rPr>
          <w:sz w:val="24"/>
          <w:szCs w:val="24"/>
        </w:rPr>
        <w:t>Nevertheless,</w:t>
      </w:r>
      <w:r w:rsidR="000B732E" w:rsidRPr="00165B05">
        <w:rPr>
          <w:sz w:val="24"/>
          <w:szCs w:val="24"/>
        </w:rPr>
        <w:t xml:space="preserve"> the data over time allows us to observe in which areas </w:t>
      </w:r>
      <w:r w:rsidR="00925299" w:rsidRPr="00165B05">
        <w:rPr>
          <w:sz w:val="24"/>
          <w:szCs w:val="24"/>
        </w:rPr>
        <w:t xml:space="preserve">child poverty has </w:t>
      </w:r>
      <w:r w:rsidR="00094489" w:rsidRPr="00165B05">
        <w:rPr>
          <w:sz w:val="24"/>
          <w:szCs w:val="24"/>
        </w:rPr>
        <w:t xml:space="preserve">increased </w:t>
      </w:r>
      <w:r w:rsidR="00925299" w:rsidRPr="00165B05">
        <w:rPr>
          <w:sz w:val="24"/>
          <w:szCs w:val="24"/>
        </w:rPr>
        <w:t xml:space="preserve">the fastest since the mid-2010s, a period in which </w:t>
      </w:r>
      <w:r w:rsidR="00094489" w:rsidRPr="00165B05">
        <w:rPr>
          <w:sz w:val="24"/>
          <w:szCs w:val="24"/>
        </w:rPr>
        <w:t xml:space="preserve">relative </w:t>
      </w:r>
      <w:r w:rsidR="00925299" w:rsidRPr="00165B05">
        <w:rPr>
          <w:sz w:val="24"/>
          <w:szCs w:val="24"/>
        </w:rPr>
        <w:t xml:space="preserve">child poverty </w:t>
      </w:r>
      <w:r w:rsidR="00573E06" w:rsidRPr="00165B05">
        <w:rPr>
          <w:sz w:val="24"/>
          <w:szCs w:val="24"/>
        </w:rPr>
        <w:t>has been rising</w:t>
      </w:r>
      <w:r w:rsidR="00094489" w:rsidRPr="00165B05">
        <w:rPr>
          <w:sz w:val="24"/>
          <w:szCs w:val="24"/>
        </w:rPr>
        <w:t>, both before and after housing costs</w:t>
      </w:r>
      <w:r w:rsidR="00573E06" w:rsidRPr="00165B05">
        <w:rPr>
          <w:sz w:val="24"/>
          <w:szCs w:val="24"/>
        </w:rPr>
        <w:t>.</w:t>
      </w:r>
      <w:r w:rsidR="00094489" w:rsidRPr="00165B05">
        <w:rPr>
          <w:sz w:val="24"/>
          <w:szCs w:val="24"/>
        </w:rPr>
        <w:t xml:space="preserve"> </w:t>
      </w:r>
      <w:r w:rsidR="00573E06" w:rsidRPr="00165B05">
        <w:rPr>
          <w:sz w:val="24"/>
          <w:szCs w:val="24"/>
        </w:rPr>
        <w:t xml:space="preserve"> </w:t>
      </w:r>
      <w:r w:rsidR="00912A99" w:rsidRPr="00165B05">
        <w:rPr>
          <w:sz w:val="24"/>
          <w:szCs w:val="24"/>
        </w:rPr>
        <w:t xml:space="preserve">Using a BHC indicator to </w:t>
      </w:r>
      <w:r w:rsidR="000852C6" w:rsidRPr="00165B05">
        <w:rPr>
          <w:sz w:val="24"/>
          <w:szCs w:val="24"/>
        </w:rPr>
        <w:t>monitor such change is likely to produce similar results to an AHC indicator, given that the re</w:t>
      </w:r>
      <w:r w:rsidR="001921C2" w:rsidRPr="00165B05">
        <w:rPr>
          <w:sz w:val="24"/>
          <w:szCs w:val="24"/>
        </w:rPr>
        <w:t xml:space="preserve">lative level of housing costs </w:t>
      </w:r>
      <w:r w:rsidR="006B23B4" w:rsidRPr="00165B05">
        <w:rPr>
          <w:sz w:val="24"/>
          <w:szCs w:val="24"/>
        </w:rPr>
        <w:t>in different parts of the country changed less between 2014</w:t>
      </w:r>
      <w:r w:rsidR="00750D4A" w:rsidRPr="00165B05">
        <w:rPr>
          <w:sz w:val="24"/>
          <w:szCs w:val="24"/>
        </w:rPr>
        <w:t>/15</w:t>
      </w:r>
      <w:r w:rsidR="006B23B4" w:rsidRPr="00165B05">
        <w:rPr>
          <w:sz w:val="24"/>
          <w:szCs w:val="24"/>
        </w:rPr>
        <w:t xml:space="preserve"> and 201</w:t>
      </w:r>
      <w:r w:rsidR="00750D4A" w:rsidRPr="00165B05">
        <w:rPr>
          <w:sz w:val="24"/>
          <w:szCs w:val="24"/>
        </w:rPr>
        <w:t>8/1</w:t>
      </w:r>
      <w:r w:rsidR="006B23B4" w:rsidRPr="00165B05">
        <w:rPr>
          <w:sz w:val="24"/>
          <w:szCs w:val="24"/>
        </w:rPr>
        <w:t xml:space="preserve">9 than in the previous </w:t>
      </w:r>
      <w:r w:rsidR="00750D4A" w:rsidRPr="00165B05">
        <w:rPr>
          <w:sz w:val="24"/>
          <w:szCs w:val="24"/>
        </w:rPr>
        <w:t>four</w:t>
      </w:r>
      <w:r w:rsidR="006B23B4" w:rsidRPr="00165B05">
        <w:rPr>
          <w:sz w:val="24"/>
          <w:szCs w:val="24"/>
        </w:rPr>
        <w:t xml:space="preserve"> year period. </w:t>
      </w:r>
      <w:r w:rsidR="000A189A">
        <w:rPr>
          <w:sz w:val="24"/>
          <w:szCs w:val="24"/>
        </w:rPr>
        <w:t xml:space="preserve"> </w:t>
      </w:r>
      <w:r w:rsidR="00A4090E" w:rsidRPr="00165B05">
        <w:rPr>
          <w:sz w:val="24"/>
          <w:szCs w:val="24"/>
        </w:rPr>
        <w:t xml:space="preserve">For example, </w:t>
      </w:r>
      <w:r w:rsidR="006B23B4" w:rsidRPr="00165B05">
        <w:rPr>
          <w:sz w:val="24"/>
          <w:szCs w:val="24"/>
        </w:rPr>
        <w:t>the ONS’s index of private rents</w:t>
      </w:r>
      <w:r w:rsidR="00A4090E" w:rsidRPr="00165B05">
        <w:rPr>
          <w:sz w:val="24"/>
          <w:szCs w:val="24"/>
        </w:rPr>
        <w:t xml:space="preserve"> shows </w:t>
      </w:r>
      <w:r w:rsidR="00F34895" w:rsidRPr="00165B05">
        <w:rPr>
          <w:sz w:val="24"/>
          <w:szCs w:val="24"/>
        </w:rPr>
        <w:t xml:space="preserve">average </w:t>
      </w:r>
      <w:r w:rsidR="00750D4A" w:rsidRPr="00165B05">
        <w:rPr>
          <w:sz w:val="24"/>
          <w:szCs w:val="24"/>
        </w:rPr>
        <w:t>increase</w:t>
      </w:r>
      <w:r w:rsidR="00FD747F" w:rsidRPr="00165B05">
        <w:rPr>
          <w:sz w:val="24"/>
          <w:szCs w:val="24"/>
        </w:rPr>
        <w:t>s</w:t>
      </w:r>
      <w:r w:rsidR="00750D4A" w:rsidRPr="00165B05">
        <w:rPr>
          <w:sz w:val="24"/>
          <w:szCs w:val="24"/>
        </w:rPr>
        <w:t xml:space="preserve"> in </w:t>
      </w:r>
      <w:r w:rsidR="00F34895" w:rsidRPr="00165B05">
        <w:rPr>
          <w:sz w:val="24"/>
          <w:szCs w:val="24"/>
        </w:rPr>
        <w:t xml:space="preserve">both London and the rest of the country </w:t>
      </w:r>
      <w:r w:rsidR="00FD747F" w:rsidRPr="00165B05">
        <w:rPr>
          <w:sz w:val="24"/>
          <w:szCs w:val="24"/>
        </w:rPr>
        <w:t>of</w:t>
      </w:r>
      <w:r w:rsidR="00F34895" w:rsidRPr="00165B05">
        <w:rPr>
          <w:sz w:val="24"/>
          <w:szCs w:val="24"/>
        </w:rPr>
        <w:t xml:space="preserve"> around 7.5% over the later period, whereas in the four previous years it had been </w:t>
      </w:r>
      <w:r w:rsidR="00642ADC" w:rsidRPr="00165B05">
        <w:rPr>
          <w:sz w:val="24"/>
          <w:szCs w:val="24"/>
        </w:rPr>
        <w:t xml:space="preserve">16% in London compared to 6% in the rest of the country. </w:t>
      </w:r>
      <w:r w:rsidR="000A189A">
        <w:rPr>
          <w:sz w:val="24"/>
          <w:szCs w:val="24"/>
        </w:rPr>
        <w:t xml:space="preserve"> </w:t>
      </w:r>
    </w:p>
    <w:p w14:paraId="36A3D99C" w14:textId="77777777" w:rsidR="00C44973" w:rsidRPr="00165B05" w:rsidRDefault="00C44973" w:rsidP="00C44973">
      <w:pPr>
        <w:spacing w:after="0" w:line="240" w:lineRule="auto"/>
        <w:rPr>
          <w:sz w:val="24"/>
          <w:szCs w:val="24"/>
        </w:rPr>
      </w:pPr>
    </w:p>
    <w:p w14:paraId="336C92DF" w14:textId="63443CCB" w:rsidR="00E45391" w:rsidRDefault="009C0772" w:rsidP="00C44973">
      <w:pPr>
        <w:spacing w:after="0" w:line="240" w:lineRule="auto"/>
        <w:rPr>
          <w:sz w:val="24"/>
          <w:szCs w:val="24"/>
        </w:rPr>
      </w:pPr>
      <w:r w:rsidRPr="00165B05">
        <w:rPr>
          <w:sz w:val="24"/>
          <w:szCs w:val="24"/>
        </w:rPr>
        <w:t>In this context, it is significant that the greatest</w:t>
      </w:r>
      <w:r w:rsidR="00313C8D" w:rsidRPr="00165B05">
        <w:rPr>
          <w:sz w:val="24"/>
          <w:szCs w:val="24"/>
        </w:rPr>
        <w:t xml:space="preserve"> local</w:t>
      </w:r>
      <w:r w:rsidRPr="00165B05">
        <w:rPr>
          <w:sz w:val="24"/>
          <w:szCs w:val="24"/>
        </w:rPr>
        <w:t xml:space="preserve"> increases in </w:t>
      </w:r>
      <w:r w:rsidR="0071032A" w:rsidRPr="00165B05">
        <w:rPr>
          <w:sz w:val="24"/>
          <w:szCs w:val="24"/>
        </w:rPr>
        <w:t xml:space="preserve">child poverty rates on the new measure came </w:t>
      </w:r>
      <w:r w:rsidR="006F0E21" w:rsidRPr="00165B05">
        <w:rPr>
          <w:sz w:val="24"/>
          <w:szCs w:val="24"/>
        </w:rPr>
        <w:t xml:space="preserve">almost entirely in parliamentary constituencies </w:t>
      </w:r>
      <w:r w:rsidR="00E45391" w:rsidRPr="00165B05">
        <w:rPr>
          <w:sz w:val="24"/>
          <w:szCs w:val="24"/>
        </w:rPr>
        <w:t xml:space="preserve">located </w:t>
      </w:r>
      <w:r w:rsidR="006F0E21" w:rsidRPr="00165B05">
        <w:rPr>
          <w:sz w:val="24"/>
          <w:szCs w:val="24"/>
        </w:rPr>
        <w:t xml:space="preserve">in the </w:t>
      </w:r>
      <w:r w:rsidR="00E45391" w:rsidRPr="00165B05">
        <w:rPr>
          <w:sz w:val="24"/>
          <w:szCs w:val="24"/>
        </w:rPr>
        <w:t xml:space="preserve">conurbations of the </w:t>
      </w:r>
      <w:r w:rsidR="006F0E21" w:rsidRPr="00165B05">
        <w:rPr>
          <w:sz w:val="24"/>
          <w:szCs w:val="24"/>
        </w:rPr>
        <w:t xml:space="preserve">Midlands and North of England, </w:t>
      </w:r>
      <w:r w:rsidR="008919F3" w:rsidRPr="00165B05">
        <w:rPr>
          <w:sz w:val="24"/>
          <w:szCs w:val="24"/>
        </w:rPr>
        <w:t xml:space="preserve">as shown in </w:t>
      </w:r>
      <w:hyperlink r:id="rId13" w:history="1">
        <w:r w:rsidR="008919F3" w:rsidRPr="0047278F">
          <w:rPr>
            <w:rStyle w:val="Hyperlink"/>
            <w:sz w:val="24"/>
            <w:szCs w:val="24"/>
          </w:rPr>
          <w:t>Data Table 3</w:t>
        </w:r>
      </w:hyperlink>
      <w:r w:rsidR="008919F3" w:rsidRPr="00165B05">
        <w:rPr>
          <w:sz w:val="24"/>
          <w:szCs w:val="24"/>
        </w:rPr>
        <w:t xml:space="preserve">, with the top 20 increases shown </w:t>
      </w:r>
      <w:r w:rsidR="00E45391" w:rsidRPr="00165B05">
        <w:rPr>
          <w:sz w:val="24"/>
          <w:szCs w:val="24"/>
        </w:rPr>
        <w:t>below</w:t>
      </w:r>
      <w:r w:rsidR="000D4902" w:rsidRPr="00165B05">
        <w:rPr>
          <w:sz w:val="24"/>
          <w:szCs w:val="24"/>
        </w:rPr>
        <w:t xml:space="preserve"> in Table A</w:t>
      </w:r>
      <w:r w:rsidR="00E45391" w:rsidRPr="00165B05">
        <w:rPr>
          <w:sz w:val="24"/>
          <w:szCs w:val="24"/>
        </w:rPr>
        <w:t xml:space="preserve">. </w:t>
      </w:r>
      <w:r w:rsidR="000A189A">
        <w:rPr>
          <w:sz w:val="24"/>
          <w:szCs w:val="24"/>
        </w:rPr>
        <w:t xml:space="preserve"> </w:t>
      </w:r>
      <w:r w:rsidR="0053773A">
        <w:rPr>
          <w:sz w:val="24"/>
          <w:szCs w:val="24"/>
        </w:rPr>
        <w:t>Table B shows significant differences in regions overall, with child poverty rising fastest</w:t>
      </w:r>
      <w:r w:rsidR="006F34AC">
        <w:rPr>
          <w:sz w:val="24"/>
          <w:szCs w:val="24"/>
        </w:rPr>
        <w:t>, by 6.5 percentage</w:t>
      </w:r>
      <w:r w:rsidR="0053773A">
        <w:rPr>
          <w:sz w:val="24"/>
          <w:szCs w:val="24"/>
        </w:rPr>
        <w:t xml:space="preserve"> </w:t>
      </w:r>
      <w:r w:rsidR="006F34AC">
        <w:rPr>
          <w:sz w:val="24"/>
          <w:szCs w:val="24"/>
        </w:rPr>
        <w:t xml:space="preserve">points, </w:t>
      </w:r>
      <w:r w:rsidR="0053773A">
        <w:rPr>
          <w:sz w:val="24"/>
          <w:szCs w:val="24"/>
        </w:rPr>
        <w:t xml:space="preserve">in the North East, but in contrast falling </w:t>
      </w:r>
      <w:r w:rsidR="006F34AC">
        <w:rPr>
          <w:sz w:val="24"/>
          <w:szCs w:val="24"/>
        </w:rPr>
        <w:t>by 1.6 percentage points</w:t>
      </w:r>
      <w:r w:rsidR="0053773A">
        <w:rPr>
          <w:sz w:val="24"/>
          <w:szCs w:val="24"/>
        </w:rPr>
        <w:t xml:space="preserve"> in the South West</w:t>
      </w:r>
      <w:r w:rsidR="00E45391" w:rsidRPr="00165B05">
        <w:rPr>
          <w:sz w:val="24"/>
          <w:szCs w:val="24"/>
        </w:rPr>
        <w:t>.</w:t>
      </w:r>
      <w:r w:rsidR="000A189A">
        <w:rPr>
          <w:sz w:val="24"/>
          <w:szCs w:val="24"/>
        </w:rPr>
        <w:t xml:space="preserve">  </w:t>
      </w:r>
    </w:p>
    <w:p w14:paraId="786849A4" w14:textId="059C95E7" w:rsidR="00E45391" w:rsidRDefault="00E45391" w:rsidP="00C44973">
      <w:pPr>
        <w:spacing w:after="0" w:line="240" w:lineRule="auto"/>
      </w:pPr>
    </w:p>
    <w:p w14:paraId="6179513B" w14:textId="772127CF" w:rsidR="00C44973" w:rsidRDefault="00165B05" w:rsidP="00165B05">
      <w:pPr>
        <w:spacing w:after="0" w:line="240" w:lineRule="auto"/>
        <w:ind w:left="1440" w:hanging="1440"/>
        <w:rPr>
          <w:rStyle w:val="CommentReference"/>
          <w:sz w:val="24"/>
          <w:szCs w:val="24"/>
        </w:rPr>
      </w:pPr>
      <w:r w:rsidRPr="00165B05">
        <w:rPr>
          <w:b/>
          <w:bCs/>
          <w:sz w:val="24"/>
          <w:szCs w:val="24"/>
        </w:rPr>
        <w:t>Table A</w:t>
      </w:r>
      <w:r w:rsidRPr="00165B05">
        <w:rPr>
          <w:b/>
          <w:bCs/>
          <w:sz w:val="24"/>
          <w:szCs w:val="24"/>
        </w:rPr>
        <w:tab/>
        <w:t>The 20 parliamentary constituencies with the greatest increase in child poverty, 2014/15 to 2018/19</w:t>
      </w:r>
    </w:p>
    <w:p w14:paraId="4E012529" w14:textId="77777777" w:rsidR="00165B05" w:rsidRPr="00165B05" w:rsidRDefault="00165B05" w:rsidP="00165B05">
      <w:pPr>
        <w:spacing w:after="0" w:line="240" w:lineRule="auto"/>
        <w:ind w:left="1440" w:hanging="1440"/>
        <w:rPr>
          <w:sz w:val="24"/>
          <w:szCs w:val="24"/>
        </w:rPr>
      </w:pPr>
    </w:p>
    <w:tbl>
      <w:tblPr>
        <w:tblStyle w:val="TableGrid"/>
        <w:tblW w:w="0" w:type="auto"/>
        <w:tblLook w:val="04A0" w:firstRow="1" w:lastRow="0" w:firstColumn="1" w:lastColumn="0" w:noHBand="0" w:noVBand="1"/>
      </w:tblPr>
      <w:tblGrid>
        <w:gridCol w:w="3539"/>
        <w:gridCol w:w="1611"/>
        <w:gridCol w:w="1612"/>
        <w:gridCol w:w="2254"/>
      </w:tblGrid>
      <w:tr w:rsidR="006F34AC" w:rsidRPr="00165B05" w14:paraId="0F08292D" w14:textId="77777777" w:rsidTr="00064F90">
        <w:tc>
          <w:tcPr>
            <w:tcW w:w="3539" w:type="dxa"/>
            <w:shd w:val="clear" w:color="auto" w:fill="B4C6E7" w:themeFill="accent1" w:themeFillTint="66"/>
          </w:tcPr>
          <w:p w14:paraId="475C862D" w14:textId="359BB319" w:rsidR="006F34AC" w:rsidRPr="00651CA4" w:rsidRDefault="006F34AC" w:rsidP="005753DB">
            <w:pPr>
              <w:rPr>
                <w:rFonts w:ascii="Calibri" w:eastAsia="Times New Roman" w:hAnsi="Calibri" w:cs="Calibri"/>
                <w:b/>
                <w:bCs/>
                <w:sz w:val="24"/>
                <w:szCs w:val="24"/>
                <w:lang w:eastAsia="en-GB"/>
              </w:rPr>
            </w:pPr>
          </w:p>
        </w:tc>
        <w:tc>
          <w:tcPr>
            <w:tcW w:w="5477" w:type="dxa"/>
            <w:gridSpan w:val="3"/>
            <w:shd w:val="clear" w:color="auto" w:fill="B4C6E7" w:themeFill="accent1" w:themeFillTint="66"/>
          </w:tcPr>
          <w:p w14:paraId="3E243B6A" w14:textId="12C4971F" w:rsidR="006F34AC" w:rsidRPr="00651CA4" w:rsidRDefault="006F34AC" w:rsidP="00165B05">
            <w:pPr>
              <w:jc w:val="center"/>
              <w:rPr>
                <w:rFonts w:ascii="Calibri" w:eastAsia="Times New Roman" w:hAnsi="Calibri" w:cs="Calibri"/>
                <w:b/>
                <w:bCs/>
                <w:sz w:val="24"/>
                <w:szCs w:val="24"/>
                <w:lang w:eastAsia="en-GB"/>
              </w:rPr>
            </w:pPr>
            <w:r w:rsidRPr="00651CA4">
              <w:rPr>
                <w:rFonts w:ascii="Calibri" w:eastAsia="Times New Roman" w:hAnsi="Calibri" w:cs="Calibri"/>
                <w:b/>
                <w:bCs/>
                <w:sz w:val="24"/>
                <w:szCs w:val="24"/>
                <w:lang w:eastAsia="en-GB"/>
              </w:rPr>
              <w:t>Child poverty rate</w:t>
            </w:r>
          </w:p>
        </w:tc>
      </w:tr>
      <w:tr w:rsidR="008D1414" w:rsidRPr="00165B05" w14:paraId="067C5B46" w14:textId="77777777" w:rsidTr="008A64EE">
        <w:tc>
          <w:tcPr>
            <w:tcW w:w="3539" w:type="dxa"/>
            <w:shd w:val="clear" w:color="auto" w:fill="B4C6E7" w:themeFill="accent1" w:themeFillTint="66"/>
          </w:tcPr>
          <w:p w14:paraId="0DD83546" w14:textId="31329D00" w:rsidR="008D1414" w:rsidRPr="008A64EE" w:rsidRDefault="008A64EE" w:rsidP="005753DB">
            <w:pPr>
              <w:rPr>
                <w:rFonts w:ascii="Calibri" w:eastAsia="Times New Roman" w:hAnsi="Calibri" w:cs="Calibri"/>
                <w:sz w:val="24"/>
                <w:szCs w:val="24"/>
                <w:lang w:eastAsia="en-GB"/>
              </w:rPr>
            </w:pPr>
            <w:r w:rsidRPr="008A64EE">
              <w:rPr>
                <w:rFonts w:ascii="Calibri" w:eastAsia="Times New Roman" w:hAnsi="Calibri" w:cs="Calibri"/>
                <w:sz w:val="24"/>
                <w:szCs w:val="24"/>
                <w:lang w:eastAsia="en-GB"/>
              </w:rPr>
              <w:t>Constituency</w:t>
            </w:r>
          </w:p>
        </w:tc>
        <w:tc>
          <w:tcPr>
            <w:tcW w:w="1611" w:type="dxa"/>
            <w:shd w:val="clear" w:color="auto" w:fill="B4C6E7" w:themeFill="accent1" w:themeFillTint="66"/>
          </w:tcPr>
          <w:p w14:paraId="3A8085E9" w14:textId="2B171138" w:rsidR="008D1414" w:rsidRPr="00651CA4" w:rsidRDefault="008D1414" w:rsidP="00165B05">
            <w:pPr>
              <w:jc w:val="center"/>
              <w:rPr>
                <w:rFonts w:ascii="Calibri" w:eastAsia="Times New Roman" w:hAnsi="Calibri" w:cs="Calibri"/>
                <w:b/>
                <w:bCs/>
                <w:sz w:val="24"/>
                <w:szCs w:val="24"/>
                <w:lang w:eastAsia="en-GB"/>
              </w:rPr>
            </w:pPr>
            <w:r w:rsidRPr="00651CA4">
              <w:rPr>
                <w:rFonts w:ascii="Calibri" w:eastAsia="Times New Roman" w:hAnsi="Calibri" w:cs="Calibri"/>
                <w:sz w:val="24"/>
                <w:szCs w:val="24"/>
                <w:lang w:eastAsia="en-GB"/>
              </w:rPr>
              <w:t>2014/15</w:t>
            </w:r>
          </w:p>
        </w:tc>
        <w:tc>
          <w:tcPr>
            <w:tcW w:w="1612" w:type="dxa"/>
            <w:shd w:val="clear" w:color="auto" w:fill="B4C6E7" w:themeFill="accent1" w:themeFillTint="66"/>
          </w:tcPr>
          <w:p w14:paraId="6F9E206C" w14:textId="66FA4618" w:rsidR="008D1414" w:rsidRPr="00651CA4" w:rsidRDefault="008D1414" w:rsidP="00165B05">
            <w:pPr>
              <w:jc w:val="center"/>
              <w:rPr>
                <w:rFonts w:ascii="Calibri" w:eastAsia="Times New Roman" w:hAnsi="Calibri" w:cs="Calibri"/>
                <w:b/>
                <w:bCs/>
                <w:sz w:val="24"/>
                <w:szCs w:val="24"/>
                <w:lang w:eastAsia="en-GB"/>
              </w:rPr>
            </w:pPr>
            <w:r w:rsidRPr="00651CA4">
              <w:rPr>
                <w:rFonts w:ascii="Calibri" w:eastAsia="Times New Roman" w:hAnsi="Calibri" w:cs="Calibri"/>
                <w:sz w:val="24"/>
                <w:szCs w:val="24"/>
                <w:lang w:eastAsia="en-GB"/>
              </w:rPr>
              <w:t>2018/19</w:t>
            </w:r>
          </w:p>
        </w:tc>
        <w:tc>
          <w:tcPr>
            <w:tcW w:w="2254" w:type="dxa"/>
            <w:shd w:val="clear" w:color="auto" w:fill="B4C6E7" w:themeFill="accent1" w:themeFillTint="66"/>
          </w:tcPr>
          <w:p w14:paraId="204EB4D7" w14:textId="6FEF2A87" w:rsidR="008D1414" w:rsidRPr="008A64EE" w:rsidRDefault="006F34AC" w:rsidP="005753DB">
            <w:pPr>
              <w:rPr>
                <w:rFonts w:ascii="Calibri" w:eastAsia="Times New Roman" w:hAnsi="Calibri" w:cs="Calibri"/>
                <w:sz w:val="24"/>
                <w:szCs w:val="24"/>
                <w:lang w:eastAsia="en-GB"/>
              </w:rPr>
            </w:pPr>
            <w:r w:rsidRPr="008A64EE">
              <w:rPr>
                <w:rFonts w:ascii="Calibri" w:eastAsia="Times New Roman" w:hAnsi="Calibri" w:cs="Calibri"/>
                <w:sz w:val="24"/>
                <w:szCs w:val="24"/>
                <w:lang w:eastAsia="en-GB"/>
              </w:rPr>
              <w:t>%age point increase</w:t>
            </w:r>
          </w:p>
        </w:tc>
      </w:tr>
      <w:tr w:rsidR="00C44973" w:rsidRPr="00165B05" w14:paraId="556A2922" w14:textId="77777777" w:rsidTr="00165B05">
        <w:tc>
          <w:tcPr>
            <w:tcW w:w="3539" w:type="dxa"/>
          </w:tcPr>
          <w:p w14:paraId="1AF77C92" w14:textId="7D5E934B" w:rsidR="00C44973" w:rsidRPr="00651CA4" w:rsidRDefault="00C44973" w:rsidP="005753DB">
            <w:pPr>
              <w:rPr>
                <w:rFonts w:ascii="Calibri" w:hAnsi="Calibri" w:cs="Calibri"/>
                <w:sz w:val="24"/>
                <w:szCs w:val="24"/>
              </w:rPr>
            </w:pPr>
            <w:r w:rsidRPr="00651CA4">
              <w:rPr>
                <w:rFonts w:ascii="Calibri" w:eastAsia="Times New Roman" w:hAnsi="Calibri" w:cs="Calibri"/>
                <w:b/>
                <w:bCs/>
                <w:sz w:val="24"/>
                <w:szCs w:val="24"/>
                <w:lang w:eastAsia="en-GB"/>
              </w:rPr>
              <w:t>GB</w:t>
            </w:r>
          </w:p>
        </w:tc>
        <w:tc>
          <w:tcPr>
            <w:tcW w:w="1611" w:type="dxa"/>
          </w:tcPr>
          <w:p w14:paraId="2372AF32" w14:textId="42365F68" w:rsidR="00C44973" w:rsidRPr="00651CA4" w:rsidRDefault="005C4B87" w:rsidP="00165B05">
            <w:pPr>
              <w:tabs>
                <w:tab w:val="decimal" w:pos="552"/>
              </w:tabs>
              <w:rPr>
                <w:rFonts w:ascii="Calibri" w:hAnsi="Calibri" w:cs="Calibri"/>
                <w:sz w:val="24"/>
                <w:szCs w:val="24"/>
              </w:rPr>
            </w:pPr>
            <w:r w:rsidRPr="00651CA4">
              <w:rPr>
                <w:rFonts w:ascii="Calibri" w:eastAsia="Times New Roman" w:hAnsi="Calibri" w:cs="Calibri"/>
                <w:b/>
                <w:bCs/>
                <w:sz w:val="24"/>
                <w:szCs w:val="24"/>
                <w:lang w:eastAsia="en-GB"/>
              </w:rPr>
              <w:t>15.6%</w:t>
            </w:r>
          </w:p>
        </w:tc>
        <w:tc>
          <w:tcPr>
            <w:tcW w:w="1612" w:type="dxa"/>
          </w:tcPr>
          <w:p w14:paraId="01B7C44F" w14:textId="494EDAE4" w:rsidR="00C44973" w:rsidRPr="00651CA4" w:rsidRDefault="005C4B87" w:rsidP="00165B05">
            <w:pPr>
              <w:tabs>
                <w:tab w:val="decimal" w:pos="702"/>
              </w:tabs>
              <w:rPr>
                <w:rFonts w:ascii="Calibri" w:hAnsi="Calibri" w:cs="Calibri"/>
                <w:sz w:val="24"/>
                <w:szCs w:val="24"/>
              </w:rPr>
            </w:pPr>
            <w:r w:rsidRPr="00651CA4">
              <w:rPr>
                <w:rFonts w:ascii="Calibri" w:eastAsia="Times New Roman" w:hAnsi="Calibri" w:cs="Calibri"/>
                <w:b/>
                <w:bCs/>
                <w:sz w:val="24"/>
                <w:szCs w:val="24"/>
                <w:lang w:eastAsia="en-GB"/>
              </w:rPr>
              <w:t>18.4%</w:t>
            </w:r>
          </w:p>
        </w:tc>
        <w:tc>
          <w:tcPr>
            <w:tcW w:w="2254" w:type="dxa"/>
          </w:tcPr>
          <w:p w14:paraId="01F2A9D6" w14:textId="2E55F01B" w:rsidR="00C44973" w:rsidRPr="00651CA4" w:rsidRDefault="005C4B87" w:rsidP="00165B05">
            <w:pPr>
              <w:tabs>
                <w:tab w:val="decimal" w:pos="935"/>
              </w:tabs>
              <w:rPr>
                <w:rFonts w:ascii="Calibri" w:hAnsi="Calibri" w:cs="Calibri"/>
                <w:sz w:val="24"/>
                <w:szCs w:val="24"/>
              </w:rPr>
            </w:pPr>
            <w:r w:rsidRPr="00651CA4">
              <w:rPr>
                <w:rFonts w:ascii="Calibri" w:eastAsia="Times New Roman" w:hAnsi="Calibri" w:cs="Calibri"/>
                <w:b/>
                <w:bCs/>
                <w:sz w:val="24"/>
                <w:szCs w:val="24"/>
                <w:lang w:eastAsia="en-GB"/>
              </w:rPr>
              <w:t>2.8%</w:t>
            </w:r>
          </w:p>
        </w:tc>
      </w:tr>
      <w:tr w:rsidR="00C44973" w:rsidRPr="00165B05" w14:paraId="036B7298" w14:textId="77777777" w:rsidTr="00165B05">
        <w:tc>
          <w:tcPr>
            <w:tcW w:w="3539" w:type="dxa"/>
          </w:tcPr>
          <w:p w14:paraId="64B8E0E3" w14:textId="09CCC430" w:rsidR="00C44973" w:rsidRPr="00651CA4" w:rsidRDefault="00C44973" w:rsidP="005753DB">
            <w:pPr>
              <w:rPr>
                <w:rFonts w:ascii="Calibri" w:hAnsi="Calibri" w:cs="Calibri"/>
                <w:sz w:val="24"/>
                <w:szCs w:val="24"/>
              </w:rPr>
            </w:pPr>
            <w:r w:rsidRPr="00651CA4">
              <w:rPr>
                <w:rFonts w:ascii="Calibri" w:eastAsia="Times New Roman" w:hAnsi="Calibri" w:cs="Calibri"/>
                <w:sz w:val="24"/>
                <w:szCs w:val="24"/>
                <w:lang w:eastAsia="en-GB"/>
              </w:rPr>
              <w:t>Middlesbrough</w:t>
            </w:r>
          </w:p>
        </w:tc>
        <w:tc>
          <w:tcPr>
            <w:tcW w:w="1611" w:type="dxa"/>
          </w:tcPr>
          <w:p w14:paraId="239855C2" w14:textId="041573E0" w:rsidR="00C44973" w:rsidRPr="00651CA4" w:rsidRDefault="005C4B87"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26.7%</w:t>
            </w:r>
          </w:p>
        </w:tc>
        <w:tc>
          <w:tcPr>
            <w:tcW w:w="1612" w:type="dxa"/>
          </w:tcPr>
          <w:p w14:paraId="261EBF88" w14:textId="0DCEC85C" w:rsidR="00C44973" w:rsidRPr="00651CA4" w:rsidRDefault="005C4B87"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42.4%</w:t>
            </w:r>
          </w:p>
        </w:tc>
        <w:tc>
          <w:tcPr>
            <w:tcW w:w="2254" w:type="dxa"/>
          </w:tcPr>
          <w:p w14:paraId="04A685E6" w14:textId="08CC56FA" w:rsidR="00C44973" w:rsidRPr="006F34AC" w:rsidRDefault="005C4B87"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15.6%</w:t>
            </w:r>
          </w:p>
        </w:tc>
      </w:tr>
      <w:tr w:rsidR="00C44973" w:rsidRPr="00165B05" w14:paraId="2A0EBA33" w14:textId="77777777" w:rsidTr="00165B05">
        <w:tc>
          <w:tcPr>
            <w:tcW w:w="3539" w:type="dxa"/>
          </w:tcPr>
          <w:p w14:paraId="4C17E0DF" w14:textId="2D798F6C" w:rsidR="00C44973" w:rsidRPr="00651CA4" w:rsidRDefault="00C44973" w:rsidP="005753DB">
            <w:pPr>
              <w:rPr>
                <w:rFonts w:ascii="Calibri" w:hAnsi="Calibri" w:cs="Calibri"/>
                <w:sz w:val="24"/>
                <w:szCs w:val="24"/>
              </w:rPr>
            </w:pPr>
            <w:r w:rsidRPr="00651CA4">
              <w:rPr>
                <w:rFonts w:ascii="Calibri" w:eastAsia="Times New Roman" w:hAnsi="Calibri" w:cs="Calibri"/>
                <w:sz w:val="24"/>
                <w:szCs w:val="24"/>
                <w:lang w:eastAsia="en-GB"/>
              </w:rPr>
              <w:t>Glasgow Central</w:t>
            </w:r>
          </w:p>
        </w:tc>
        <w:tc>
          <w:tcPr>
            <w:tcW w:w="1611" w:type="dxa"/>
          </w:tcPr>
          <w:p w14:paraId="4B1AB8EE" w14:textId="5BDF4913" w:rsidR="00C44973" w:rsidRPr="00651CA4" w:rsidRDefault="005C4B87"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30.6%</w:t>
            </w:r>
          </w:p>
        </w:tc>
        <w:tc>
          <w:tcPr>
            <w:tcW w:w="1612" w:type="dxa"/>
          </w:tcPr>
          <w:p w14:paraId="5B356E35" w14:textId="6E30F0A9" w:rsidR="00C44973" w:rsidRPr="00651CA4" w:rsidRDefault="005C4B87"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42.2%</w:t>
            </w:r>
          </w:p>
        </w:tc>
        <w:tc>
          <w:tcPr>
            <w:tcW w:w="2254" w:type="dxa"/>
          </w:tcPr>
          <w:p w14:paraId="2BD1C8BD" w14:textId="293E57DD" w:rsidR="00C44973" w:rsidRPr="006F34AC" w:rsidRDefault="005C4B87"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11.6%</w:t>
            </w:r>
          </w:p>
        </w:tc>
      </w:tr>
      <w:tr w:rsidR="00C44973" w:rsidRPr="00165B05" w14:paraId="5BEEF358" w14:textId="77777777" w:rsidTr="00165B05">
        <w:tc>
          <w:tcPr>
            <w:tcW w:w="3539" w:type="dxa"/>
          </w:tcPr>
          <w:p w14:paraId="120A1191" w14:textId="2C4FBE1A" w:rsidR="00C44973" w:rsidRPr="00651CA4" w:rsidRDefault="00C44973" w:rsidP="005753DB">
            <w:pPr>
              <w:rPr>
                <w:rFonts w:ascii="Calibri" w:hAnsi="Calibri" w:cs="Calibri"/>
                <w:sz w:val="24"/>
                <w:szCs w:val="24"/>
              </w:rPr>
            </w:pPr>
            <w:r w:rsidRPr="00651CA4">
              <w:rPr>
                <w:rFonts w:ascii="Calibri" w:eastAsia="Times New Roman" w:hAnsi="Calibri" w:cs="Calibri"/>
                <w:sz w:val="24"/>
                <w:szCs w:val="24"/>
                <w:lang w:eastAsia="en-GB"/>
              </w:rPr>
              <w:t>Newcastle upon Tyne Central</w:t>
            </w:r>
          </w:p>
        </w:tc>
        <w:tc>
          <w:tcPr>
            <w:tcW w:w="1611" w:type="dxa"/>
          </w:tcPr>
          <w:p w14:paraId="2750B5C1" w14:textId="0CCE5AF6" w:rsidR="00C44973" w:rsidRPr="00651CA4" w:rsidRDefault="005C4B87"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25.8%</w:t>
            </w:r>
          </w:p>
        </w:tc>
        <w:tc>
          <w:tcPr>
            <w:tcW w:w="1612" w:type="dxa"/>
          </w:tcPr>
          <w:p w14:paraId="5E596AED" w14:textId="72350D43" w:rsidR="00C44973" w:rsidRPr="00651CA4" w:rsidRDefault="005C4B87"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37.1%</w:t>
            </w:r>
          </w:p>
        </w:tc>
        <w:tc>
          <w:tcPr>
            <w:tcW w:w="2254" w:type="dxa"/>
          </w:tcPr>
          <w:p w14:paraId="276800AF" w14:textId="031C36E5" w:rsidR="00C44973" w:rsidRPr="006F34AC" w:rsidRDefault="005C4B87"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11.4%</w:t>
            </w:r>
          </w:p>
        </w:tc>
      </w:tr>
      <w:tr w:rsidR="00C44973" w:rsidRPr="00165B05" w14:paraId="0B4D5413" w14:textId="77777777" w:rsidTr="00165B05">
        <w:tc>
          <w:tcPr>
            <w:tcW w:w="3539" w:type="dxa"/>
          </w:tcPr>
          <w:p w14:paraId="78FA5287" w14:textId="13397303" w:rsidR="00C44973" w:rsidRPr="00651CA4" w:rsidRDefault="00C44973" w:rsidP="005753DB">
            <w:pPr>
              <w:rPr>
                <w:rFonts w:ascii="Calibri" w:hAnsi="Calibri" w:cs="Calibri"/>
                <w:sz w:val="24"/>
                <w:szCs w:val="24"/>
              </w:rPr>
            </w:pPr>
            <w:r w:rsidRPr="00651CA4">
              <w:rPr>
                <w:rFonts w:ascii="Calibri" w:eastAsia="Times New Roman" w:hAnsi="Calibri" w:cs="Calibri"/>
                <w:sz w:val="24"/>
                <w:szCs w:val="24"/>
                <w:lang w:eastAsia="en-GB"/>
              </w:rPr>
              <w:t xml:space="preserve">Oldham East and </w:t>
            </w:r>
            <w:proofErr w:type="spellStart"/>
            <w:r w:rsidRPr="00651CA4">
              <w:rPr>
                <w:rFonts w:ascii="Calibri" w:eastAsia="Times New Roman" w:hAnsi="Calibri" w:cs="Calibri"/>
                <w:sz w:val="24"/>
                <w:szCs w:val="24"/>
                <w:lang w:eastAsia="en-GB"/>
              </w:rPr>
              <w:t>Saddleworth</w:t>
            </w:r>
            <w:proofErr w:type="spellEnd"/>
          </w:p>
        </w:tc>
        <w:tc>
          <w:tcPr>
            <w:tcW w:w="1611" w:type="dxa"/>
          </w:tcPr>
          <w:p w14:paraId="363D03E6" w14:textId="17A22C9F" w:rsidR="00C44973" w:rsidRPr="00651CA4" w:rsidRDefault="005C4B87"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26.3%</w:t>
            </w:r>
          </w:p>
        </w:tc>
        <w:tc>
          <w:tcPr>
            <w:tcW w:w="1612" w:type="dxa"/>
          </w:tcPr>
          <w:p w14:paraId="5DCB55F6" w14:textId="30BEDE63" w:rsidR="00C44973" w:rsidRPr="00651CA4" w:rsidRDefault="005C4B87"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36.8%</w:t>
            </w:r>
          </w:p>
        </w:tc>
        <w:tc>
          <w:tcPr>
            <w:tcW w:w="2254" w:type="dxa"/>
          </w:tcPr>
          <w:p w14:paraId="5CAD9C2D" w14:textId="3D1100E9" w:rsidR="00C44973" w:rsidRPr="006F34AC" w:rsidRDefault="005C4B87"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10.5%</w:t>
            </w:r>
          </w:p>
        </w:tc>
      </w:tr>
      <w:tr w:rsidR="00C44973" w:rsidRPr="00165B05" w14:paraId="0F46BD9C" w14:textId="77777777" w:rsidTr="00165B05">
        <w:tc>
          <w:tcPr>
            <w:tcW w:w="3539" w:type="dxa"/>
          </w:tcPr>
          <w:p w14:paraId="309F1BB2" w14:textId="6670E1D3" w:rsidR="00C44973" w:rsidRPr="00651CA4" w:rsidRDefault="00C44973" w:rsidP="005753DB">
            <w:pPr>
              <w:rPr>
                <w:rFonts w:ascii="Calibri" w:hAnsi="Calibri" w:cs="Calibri"/>
                <w:sz w:val="24"/>
                <w:szCs w:val="24"/>
              </w:rPr>
            </w:pPr>
            <w:r w:rsidRPr="00651CA4">
              <w:rPr>
                <w:rFonts w:ascii="Calibri" w:eastAsia="Times New Roman" w:hAnsi="Calibri" w:cs="Calibri"/>
                <w:sz w:val="24"/>
                <w:szCs w:val="24"/>
                <w:lang w:eastAsia="en-GB"/>
              </w:rPr>
              <w:t>Bolton South East</w:t>
            </w:r>
          </w:p>
        </w:tc>
        <w:tc>
          <w:tcPr>
            <w:tcW w:w="1611" w:type="dxa"/>
          </w:tcPr>
          <w:p w14:paraId="62F63761" w14:textId="1D7238FD" w:rsidR="00C44973" w:rsidRPr="00651CA4" w:rsidRDefault="005C4B87"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30.0%</w:t>
            </w:r>
          </w:p>
        </w:tc>
        <w:tc>
          <w:tcPr>
            <w:tcW w:w="1612" w:type="dxa"/>
          </w:tcPr>
          <w:p w14:paraId="1AB77B87" w14:textId="7EFD774F" w:rsidR="00C44973" w:rsidRPr="00651CA4" w:rsidRDefault="005C4B87"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40.0%</w:t>
            </w:r>
          </w:p>
        </w:tc>
        <w:tc>
          <w:tcPr>
            <w:tcW w:w="2254" w:type="dxa"/>
          </w:tcPr>
          <w:p w14:paraId="0C0AA41E" w14:textId="22B4EC94" w:rsidR="00C44973" w:rsidRPr="006F34AC" w:rsidRDefault="005C4B87"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10.0%</w:t>
            </w:r>
          </w:p>
        </w:tc>
      </w:tr>
      <w:tr w:rsidR="00C44973" w:rsidRPr="00165B05" w14:paraId="1A1387FB" w14:textId="77777777" w:rsidTr="00165B05">
        <w:tc>
          <w:tcPr>
            <w:tcW w:w="3539" w:type="dxa"/>
          </w:tcPr>
          <w:p w14:paraId="27E4D1AE" w14:textId="77B9AB39" w:rsidR="00C44973" w:rsidRPr="00651CA4" w:rsidRDefault="00C44973" w:rsidP="005753DB">
            <w:pPr>
              <w:rPr>
                <w:rFonts w:ascii="Calibri" w:hAnsi="Calibri" w:cs="Calibri"/>
                <w:sz w:val="24"/>
                <w:szCs w:val="24"/>
              </w:rPr>
            </w:pPr>
            <w:r w:rsidRPr="00651CA4">
              <w:rPr>
                <w:rFonts w:ascii="Calibri" w:eastAsia="Times New Roman" w:hAnsi="Calibri" w:cs="Calibri"/>
                <w:sz w:val="24"/>
                <w:szCs w:val="24"/>
                <w:lang w:eastAsia="en-GB"/>
              </w:rPr>
              <w:t>Birmingham, Hodge Hill</w:t>
            </w:r>
          </w:p>
        </w:tc>
        <w:tc>
          <w:tcPr>
            <w:tcW w:w="1611" w:type="dxa"/>
          </w:tcPr>
          <w:p w14:paraId="104CC90B" w14:textId="2994C3DF" w:rsidR="00C44973" w:rsidRPr="00651CA4" w:rsidRDefault="005C4B87"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38.8%</w:t>
            </w:r>
          </w:p>
        </w:tc>
        <w:tc>
          <w:tcPr>
            <w:tcW w:w="1612" w:type="dxa"/>
          </w:tcPr>
          <w:p w14:paraId="6CC973C0" w14:textId="6E519092" w:rsidR="00C44973" w:rsidRPr="00651CA4" w:rsidRDefault="005C4B87"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48.7%</w:t>
            </w:r>
          </w:p>
        </w:tc>
        <w:tc>
          <w:tcPr>
            <w:tcW w:w="2254" w:type="dxa"/>
          </w:tcPr>
          <w:p w14:paraId="076A74E7" w14:textId="26C0D7DA" w:rsidR="00C44973" w:rsidRPr="006F34AC" w:rsidRDefault="005C4B87"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9.9%</w:t>
            </w:r>
          </w:p>
        </w:tc>
      </w:tr>
      <w:tr w:rsidR="00C44973" w:rsidRPr="00165B05" w14:paraId="4C930A32" w14:textId="77777777" w:rsidTr="00165B05">
        <w:tc>
          <w:tcPr>
            <w:tcW w:w="3539" w:type="dxa"/>
          </w:tcPr>
          <w:p w14:paraId="7A54554A" w14:textId="1AE036C1" w:rsidR="00C44973" w:rsidRPr="00651CA4" w:rsidRDefault="00C44973" w:rsidP="005753DB">
            <w:pPr>
              <w:rPr>
                <w:rFonts w:ascii="Calibri" w:hAnsi="Calibri" w:cs="Calibri"/>
                <w:sz w:val="24"/>
                <w:szCs w:val="24"/>
              </w:rPr>
            </w:pPr>
            <w:r w:rsidRPr="00651CA4">
              <w:rPr>
                <w:rFonts w:ascii="Calibri" w:eastAsia="Times New Roman" w:hAnsi="Calibri" w:cs="Calibri"/>
                <w:sz w:val="24"/>
                <w:szCs w:val="24"/>
                <w:lang w:eastAsia="en-GB"/>
              </w:rPr>
              <w:t>Birmingham, Ladywood</w:t>
            </w:r>
          </w:p>
        </w:tc>
        <w:tc>
          <w:tcPr>
            <w:tcW w:w="1611" w:type="dxa"/>
          </w:tcPr>
          <w:p w14:paraId="1058DF10" w14:textId="305F3D16" w:rsidR="00C44973" w:rsidRPr="00651CA4" w:rsidRDefault="005C4B87"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36.2%</w:t>
            </w:r>
          </w:p>
        </w:tc>
        <w:tc>
          <w:tcPr>
            <w:tcW w:w="1612" w:type="dxa"/>
          </w:tcPr>
          <w:p w14:paraId="3C7220EF" w14:textId="1CAB4CBC" w:rsidR="00C44973" w:rsidRPr="00651CA4" w:rsidRDefault="005C4B87"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46.0%</w:t>
            </w:r>
          </w:p>
        </w:tc>
        <w:tc>
          <w:tcPr>
            <w:tcW w:w="2254" w:type="dxa"/>
          </w:tcPr>
          <w:p w14:paraId="01664C8A" w14:textId="7B935C80" w:rsidR="00C44973" w:rsidRPr="006F34AC" w:rsidRDefault="005C4B87"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9.8%</w:t>
            </w:r>
          </w:p>
        </w:tc>
      </w:tr>
      <w:tr w:rsidR="00C44973" w:rsidRPr="00165B05" w14:paraId="112539C3" w14:textId="77777777" w:rsidTr="00165B05">
        <w:tc>
          <w:tcPr>
            <w:tcW w:w="3539" w:type="dxa"/>
          </w:tcPr>
          <w:p w14:paraId="325350FC" w14:textId="47D53B14"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Leeds East</w:t>
            </w:r>
          </w:p>
        </w:tc>
        <w:tc>
          <w:tcPr>
            <w:tcW w:w="1611" w:type="dxa"/>
          </w:tcPr>
          <w:p w14:paraId="4156A8AA" w14:textId="3247221E" w:rsidR="00C44973" w:rsidRPr="00651CA4" w:rsidRDefault="005C4B87"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25.2%</w:t>
            </w:r>
          </w:p>
        </w:tc>
        <w:tc>
          <w:tcPr>
            <w:tcW w:w="1612" w:type="dxa"/>
          </w:tcPr>
          <w:p w14:paraId="349168C9" w14:textId="1A2C321C" w:rsidR="00C44973" w:rsidRPr="00651CA4" w:rsidRDefault="005C4B87"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34.4%</w:t>
            </w:r>
          </w:p>
        </w:tc>
        <w:tc>
          <w:tcPr>
            <w:tcW w:w="2254" w:type="dxa"/>
          </w:tcPr>
          <w:p w14:paraId="496DB77E" w14:textId="61AAB465" w:rsidR="00C44973" w:rsidRPr="006F34AC" w:rsidRDefault="005C4B87"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9.2%</w:t>
            </w:r>
          </w:p>
        </w:tc>
      </w:tr>
      <w:tr w:rsidR="00C44973" w:rsidRPr="00165B05" w14:paraId="398C2D32" w14:textId="77777777" w:rsidTr="00165B05">
        <w:tc>
          <w:tcPr>
            <w:tcW w:w="3539" w:type="dxa"/>
          </w:tcPr>
          <w:p w14:paraId="6D67CA6C" w14:textId="1DA666FA"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Liverpool, Wavertree</w:t>
            </w:r>
          </w:p>
        </w:tc>
        <w:tc>
          <w:tcPr>
            <w:tcW w:w="1611" w:type="dxa"/>
          </w:tcPr>
          <w:p w14:paraId="41CD7411" w14:textId="01CADBA3" w:rsidR="00C44973" w:rsidRPr="00651CA4" w:rsidRDefault="005C4B87"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20.5%</w:t>
            </w:r>
          </w:p>
        </w:tc>
        <w:tc>
          <w:tcPr>
            <w:tcW w:w="1612" w:type="dxa"/>
          </w:tcPr>
          <w:p w14:paraId="01EA7A22" w14:textId="380E8086" w:rsidR="00C44973" w:rsidRPr="00651CA4" w:rsidRDefault="005C4B87"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29.4%</w:t>
            </w:r>
          </w:p>
        </w:tc>
        <w:tc>
          <w:tcPr>
            <w:tcW w:w="2254" w:type="dxa"/>
          </w:tcPr>
          <w:p w14:paraId="1B5C288B" w14:textId="7F818ED5" w:rsidR="00C44973" w:rsidRPr="006F34AC" w:rsidRDefault="005C4B87"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8.9%</w:t>
            </w:r>
          </w:p>
        </w:tc>
      </w:tr>
      <w:tr w:rsidR="00C44973" w:rsidRPr="00165B05" w14:paraId="64B20E99" w14:textId="77777777" w:rsidTr="00165B05">
        <w:tc>
          <w:tcPr>
            <w:tcW w:w="3539" w:type="dxa"/>
          </w:tcPr>
          <w:p w14:paraId="52ABCE51" w14:textId="133DB4F6"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Oldham West and Royton</w:t>
            </w:r>
          </w:p>
        </w:tc>
        <w:tc>
          <w:tcPr>
            <w:tcW w:w="1611" w:type="dxa"/>
          </w:tcPr>
          <w:p w14:paraId="2416E014" w14:textId="462E4CAA" w:rsidR="00C44973" w:rsidRPr="00651CA4" w:rsidRDefault="005C4B87"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33.0%</w:t>
            </w:r>
          </w:p>
        </w:tc>
        <w:tc>
          <w:tcPr>
            <w:tcW w:w="1612" w:type="dxa"/>
          </w:tcPr>
          <w:p w14:paraId="1C9F3343" w14:textId="2C6B9A09" w:rsidR="00C44973" w:rsidRPr="00651CA4" w:rsidRDefault="005C4B87"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41.9%</w:t>
            </w:r>
          </w:p>
        </w:tc>
        <w:tc>
          <w:tcPr>
            <w:tcW w:w="2254" w:type="dxa"/>
          </w:tcPr>
          <w:p w14:paraId="227E5C92" w14:textId="421F1BF4" w:rsidR="00C44973" w:rsidRPr="006F34AC" w:rsidRDefault="005C4B87"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8.9%</w:t>
            </w:r>
          </w:p>
        </w:tc>
      </w:tr>
      <w:tr w:rsidR="00C44973" w:rsidRPr="00165B05" w14:paraId="2B6D1E82" w14:textId="77777777" w:rsidTr="00165B05">
        <w:tc>
          <w:tcPr>
            <w:tcW w:w="3539" w:type="dxa"/>
          </w:tcPr>
          <w:p w14:paraId="5758819E" w14:textId="4158C617"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Pendle</w:t>
            </w:r>
          </w:p>
        </w:tc>
        <w:tc>
          <w:tcPr>
            <w:tcW w:w="1611" w:type="dxa"/>
          </w:tcPr>
          <w:p w14:paraId="7971722C" w14:textId="13E940F3" w:rsidR="00C44973" w:rsidRPr="00651CA4" w:rsidRDefault="005C4B87"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28.6%</w:t>
            </w:r>
          </w:p>
        </w:tc>
        <w:tc>
          <w:tcPr>
            <w:tcW w:w="1612" w:type="dxa"/>
          </w:tcPr>
          <w:p w14:paraId="1035F1C8" w14:textId="241922F2" w:rsidR="00C44973" w:rsidRPr="00651CA4" w:rsidRDefault="005C4B87"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37.4%</w:t>
            </w:r>
          </w:p>
        </w:tc>
        <w:tc>
          <w:tcPr>
            <w:tcW w:w="2254" w:type="dxa"/>
          </w:tcPr>
          <w:p w14:paraId="00893970" w14:textId="6C5B98E9" w:rsidR="00C44973" w:rsidRPr="006F34AC" w:rsidRDefault="008D1414"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8.8%</w:t>
            </w:r>
          </w:p>
        </w:tc>
      </w:tr>
      <w:tr w:rsidR="00C44973" w:rsidRPr="00165B05" w14:paraId="0A341A19" w14:textId="77777777" w:rsidTr="00165B05">
        <w:tc>
          <w:tcPr>
            <w:tcW w:w="3539" w:type="dxa"/>
          </w:tcPr>
          <w:p w14:paraId="1F7A5D33" w14:textId="04593709"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South Shields</w:t>
            </w:r>
          </w:p>
        </w:tc>
        <w:tc>
          <w:tcPr>
            <w:tcW w:w="1611" w:type="dxa"/>
          </w:tcPr>
          <w:p w14:paraId="34563349" w14:textId="0CC4440C" w:rsidR="00C44973" w:rsidRPr="00651CA4" w:rsidRDefault="008D1414"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20.5%</w:t>
            </w:r>
          </w:p>
        </w:tc>
        <w:tc>
          <w:tcPr>
            <w:tcW w:w="1612" w:type="dxa"/>
          </w:tcPr>
          <w:p w14:paraId="69FA557A" w14:textId="28FAA691" w:rsidR="00C44973" w:rsidRPr="00651CA4" w:rsidRDefault="008D1414"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29.1%</w:t>
            </w:r>
          </w:p>
        </w:tc>
        <w:tc>
          <w:tcPr>
            <w:tcW w:w="2254" w:type="dxa"/>
          </w:tcPr>
          <w:p w14:paraId="43AE20FB" w14:textId="076570BC" w:rsidR="00C44973" w:rsidRPr="006F34AC" w:rsidRDefault="008D1414"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8.6%</w:t>
            </w:r>
          </w:p>
        </w:tc>
      </w:tr>
      <w:tr w:rsidR="00C44973" w:rsidRPr="00165B05" w14:paraId="3949F5DB" w14:textId="77777777" w:rsidTr="00165B05">
        <w:tc>
          <w:tcPr>
            <w:tcW w:w="3539" w:type="dxa"/>
          </w:tcPr>
          <w:p w14:paraId="5C7786F3" w14:textId="2A452464"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Birmingham, Yardley</w:t>
            </w:r>
          </w:p>
        </w:tc>
        <w:tc>
          <w:tcPr>
            <w:tcW w:w="1611" w:type="dxa"/>
          </w:tcPr>
          <w:p w14:paraId="7080F20A" w14:textId="04595779" w:rsidR="00C44973" w:rsidRPr="00651CA4" w:rsidRDefault="008D1414"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26.9%</w:t>
            </w:r>
          </w:p>
        </w:tc>
        <w:tc>
          <w:tcPr>
            <w:tcW w:w="1612" w:type="dxa"/>
          </w:tcPr>
          <w:p w14:paraId="1DD25AB4" w14:textId="48E8BCAC" w:rsidR="00C44973" w:rsidRPr="00651CA4" w:rsidRDefault="008D1414"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35.1%</w:t>
            </w:r>
          </w:p>
        </w:tc>
        <w:tc>
          <w:tcPr>
            <w:tcW w:w="2254" w:type="dxa"/>
          </w:tcPr>
          <w:p w14:paraId="29EE629D" w14:textId="784C17B7" w:rsidR="00C44973" w:rsidRPr="006F34AC" w:rsidRDefault="008D1414"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8.2%</w:t>
            </w:r>
          </w:p>
        </w:tc>
      </w:tr>
      <w:tr w:rsidR="00C44973" w:rsidRPr="00165B05" w14:paraId="54AF90BE" w14:textId="77777777" w:rsidTr="00165B05">
        <w:tc>
          <w:tcPr>
            <w:tcW w:w="3539" w:type="dxa"/>
          </w:tcPr>
          <w:p w14:paraId="58CE66EB" w14:textId="15ACEABC"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Blackburn</w:t>
            </w:r>
          </w:p>
        </w:tc>
        <w:tc>
          <w:tcPr>
            <w:tcW w:w="1611" w:type="dxa"/>
          </w:tcPr>
          <w:p w14:paraId="014F3013" w14:textId="3F861472" w:rsidR="00C44973" w:rsidRPr="00651CA4" w:rsidRDefault="008D1414"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32.7%</w:t>
            </w:r>
          </w:p>
        </w:tc>
        <w:tc>
          <w:tcPr>
            <w:tcW w:w="1612" w:type="dxa"/>
          </w:tcPr>
          <w:p w14:paraId="55F3EF31" w14:textId="26AB6873" w:rsidR="00C44973" w:rsidRPr="00651CA4" w:rsidRDefault="008D1414"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40.7%</w:t>
            </w:r>
          </w:p>
        </w:tc>
        <w:tc>
          <w:tcPr>
            <w:tcW w:w="2254" w:type="dxa"/>
          </w:tcPr>
          <w:p w14:paraId="0A2BFDAD" w14:textId="7266A986" w:rsidR="00C44973" w:rsidRPr="006F34AC" w:rsidRDefault="008D1414"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7.9%</w:t>
            </w:r>
          </w:p>
        </w:tc>
      </w:tr>
      <w:tr w:rsidR="00C44973" w:rsidRPr="00165B05" w14:paraId="5B7F0D22" w14:textId="77777777" w:rsidTr="00165B05">
        <w:tc>
          <w:tcPr>
            <w:tcW w:w="3539" w:type="dxa"/>
          </w:tcPr>
          <w:p w14:paraId="76B352B3" w14:textId="3427C80A"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Leeds Central</w:t>
            </w:r>
          </w:p>
        </w:tc>
        <w:tc>
          <w:tcPr>
            <w:tcW w:w="1611" w:type="dxa"/>
          </w:tcPr>
          <w:p w14:paraId="587884A7" w14:textId="37488030" w:rsidR="00C44973" w:rsidRPr="00651CA4" w:rsidRDefault="008D1414"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26.9%</w:t>
            </w:r>
          </w:p>
        </w:tc>
        <w:tc>
          <w:tcPr>
            <w:tcW w:w="1612" w:type="dxa"/>
          </w:tcPr>
          <w:p w14:paraId="2285DC9A" w14:textId="2954E097" w:rsidR="00C44973" w:rsidRPr="00651CA4" w:rsidRDefault="008D1414"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34.7%</w:t>
            </w:r>
          </w:p>
        </w:tc>
        <w:tc>
          <w:tcPr>
            <w:tcW w:w="2254" w:type="dxa"/>
          </w:tcPr>
          <w:p w14:paraId="046CC2EF" w14:textId="0F58556C" w:rsidR="00C44973" w:rsidRPr="006F34AC" w:rsidRDefault="008D1414"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7.9%</w:t>
            </w:r>
          </w:p>
        </w:tc>
      </w:tr>
      <w:tr w:rsidR="00C44973" w:rsidRPr="00165B05" w14:paraId="3FB506F2" w14:textId="77777777" w:rsidTr="00165B05">
        <w:tc>
          <w:tcPr>
            <w:tcW w:w="3539" w:type="dxa"/>
          </w:tcPr>
          <w:p w14:paraId="5272E021" w14:textId="3112684B"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Warley</w:t>
            </w:r>
          </w:p>
        </w:tc>
        <w:tc>
          <w:tcPr>
            <w:tcW w:w="1611" w:type="dxa"/>
          </w:tcPr>
          <w:p w14:paraId="1C0D2BE8" w14:textId="37B71BB7" w:rsidR="00C44973" w:rsidRPr="00651CA4" w:rsidRDefault="008D1414"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27.7%</w:t>
            </w:r>
          </w:p>
        </w:tc>
        <w:tc>
          <w:tcPr>
            <w:tcW w:w="1612" w:type="dxa"/>
          </w:tcPr>
          <w:p w14:paraId="405A158F" w14:textId="7592FBCA" w:rsidR="00C44973" w:rsidRPr="00651CA4" w:rsidRDefault="008D1414"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35.3%</w:t>
            </w:r>
          </w:p>
        </w:tc>
        <w:tc>
          <w:tcPr>
            <w:tcW w:w="2254" w:type="dxa"/>
          </w:tcPr>
          <w:p w14:paraId="5AF9E437" w14:textId="2E6674FF" w:rsidR="00C44973" w:rsidRPr="006F34AC" w:rsidRDefault="008D1414"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7.7%</w:t>
            </w:r>
          </w:p>
        </w:tc>
      </w:tr>
      <w:tr w:rsidR="00C44973" w:rsidRPr="00165B05" w14:paraId="2BCF4E51" w14:textId="77777777" w:rsidTr="00165B05">
        <w:tc>
          <w:tcPr>
            <w:tcW w:w="3539" w:type="dxa"/>
          </w:tcPr>
          <w:p w14:paraId="305F1A8D" w14:textId="17022B06"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Manchester, Gorton</w:t>
            </w:r>
          </w:p>
        </w:tc>
        <w:tc>
          <w:tcPr>
            <w:tcW w:w="1611" w:type="dxa"/>
          </w:tcPr>
          <w:p w14:paraId="4B8A67AB" w14:textId="76D33477" w:rsidR="00C44973" w:rsidRPr="00651CA4" w:rsidRDefault="008D1414"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32.1%</w:t>
            </w:r>
          </w:p>
        </w:tc>
        <w:tc>
          <w:tcPr>
            <w:tcW w:w="1612" w:type="dxa"/>
          </w:tcPr>
          <w:p w14:paraId="17B7D9CC" w14:textId="04A37409" w:rsidR="00C44973" w:rsidRPr="00651CA4" w:rsidRDefault="008D1414"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39.5%</w:t>
            </w:r>
          </w:p>
        </w:tc>
        <w:tc>
          <w:tcPr>
            <w:tcW w:w="2254" w:type="dxa"/>
          </w:tcPr>
          <w:p w14:paraId="032B3650" w14:textId="22BBDCDE" w:rsidR="00C44973" w:rsidRPr="006F34AC" w:rsidRDefault="008D1414"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7.4%</w:t>
            </w:r>
          </w:p>
        </w:tc>
      </w:tr>
      <w:tr w:rsidR="00C44973" w:rsidRPr="00165B05" w14:paraId="1FF0CA6A" w14:textId="77777777" w:rsidTr="00165B05">
        <w:tc>
          <w:tcPr>
            <w:tcW w:w="3539" w:type="dxa"/>
          </w:tcPr>
          <w:p w14:paraId="02F4A1C0" w14:textId="1E67EBBA"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Ipswich</w:t>
            </w:r>
          </w:p>
        </w:tc>
        <w:tc>
          <w:tcPr>
            <w:tcW w:w="1611" w:type="dxa"/>
          </w:tcPr>
          <w:p w14:paraId="7DEDFFD0" w14:textId="3440E01C" w:rsidR="00C44973" w:rsidRPr="00651CA4" w:rsidRDefault="008D1414"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18.2%</w:t>
            </w:r>
          </w:p>
        </w:tc>
        <w:tc>
          <w:tcPr>
            <w:tcW w:w="1612" w:type="dxa"/>
          </w:tcPr>
          <w:p w14:paraId="2E7BDBB0" w14:textId="199463BA" w:rsidR="00C44973" w:rsidRPr="00651CA4" w:rsidRDefault="008D1414"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25.6%</w:t>
            </w:r>
          </w:p>
        </w:tc>
        <w:tc>
          <w:tcPr>
            <w:tcW w:w="2254" w:type="dxa"/>
          </w:tcPr>
          <w:p w14:paraId="60A7C9AD" w14:textId="51DECF33" w:rsidR="00C44973" w:rsidRPr="006F34AC" w:rsidRDefault="008D1414"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7.3%</w:t>
            </w:r>
          </w:p>
        </w:tc>
      </w:tr>
      <w:tr w:rsidR="00C44973" w:rsidRPr="00165B05" w14:paraId="2327B479" w14:textId="77777777" w:rsidTr="00165B05">
        <w:tc>
          <w:tcPr>
            <w:tcW w:w="3539" w:type="dxa"/>
          </w:tcPr>
          <w:p w14:paraId="17B355AF" w14:textId="57E99E5D"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Birmingham, Hall Green</w:t>
            </w:r>
          </w:p>
        </w:tc>
        <w:tc>
          <w:tcPr>
            <w:tcW w:w="1611" w:type="dxa"/>
          </w:tcPr>
          <w:p w14:paraId="55EAE99F" w14:textId="364FEB63" w:rsidR="00C44973" w:rsidRPr="00651CA4" w:rsidRDefault="008D1414"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33.5%</w:t>
            </w:r>
          </w:p>
        </w:tc>
        <w:tc>
          <w:tcPr>
            <w:tcW w:w="1612" w:type="dxa"/>
          </w:tcPr>
          <w:p w14:paraId="30116ACE" w14:textId="105D0D65" w:rsidR="00C44973" w:rsidRPr="00651CA4" w:rsidRDefault="008D1414"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40.7%</w:t>
            </w:r>
          </w:p>
        </w:tc>
        <w:tc>
          <w:tcPr>
            <w:tcW w:w="2254" w:type="dxa"/>
          </w:tcPr>
          <w:p w14:paraId="273B25D9" w14:textId="521360C6" w:rsidR="00C44973" w:rsidRPr="006F34AC" w:rsidRDefault="008D1414"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7.3%</w:t>
            </w:r>
          </w:p>
        </w:tc>
      </w:tr>
      <w:tr w:rsidR="00C44973" w:rsidRPr="00165B05" w14:paraId="1C95EB17" w14:textId="77777777" w:rsidTr="00165B05">
        <w:tc>
          <w:tcPr>
            <w:tcW w:w="3539" w:type="dxa"/>
          </w:tcPr>
          <w:p w14:paraId="4FA0A833" w14:textId="12E893C3" w:rsidR="00C44973" w:rsidRPr="00651CA4" w:rsidRDefault="00C44973" w:rsidP="005753DB">
            <w:pPr>
              <w:rPr>
                <w:rFonts w:ascii="Calibri" w:eastAsia="Times New Roman" w:hAnsi="Calibri" w:cs="Calibri"/>
                <w:sz w:val="24"/>
                <w:szCs w:val="24"/>
                <w:lang w:eastAsia="en-GB"/>
              </w:rPr>
            </w:pPr>
            <w:r w:rsidRPr="00651CA4">
              <w:rPr>
                <w:rFonts w:ascii="Calibri" w:eastAsia="Times New Roman" w:hAnsi="Calibri" w:cs="Calibri"/>
                <w:sz w:val="24"/>
                <w:szCs w:val="24"/>
                <w:lang w:eastAsia="en-GB"/>
              </w:rPr>
              <w:t>Bishop Auckland</w:t>
            </w:r>
          </w:p>
        </w:tc>
        <w:tc>
          <w:tcPr>
            <w:tcW w:w="1611" w:type="dxa"/>
          </w:tcPr>
          <w:p w14:paraId="616197F9" w14:textId="1B4ECD21" w:rsidR="00C44973" w:rsidRPr="00651CA4" w:rsidRDefault="008D1414" w:rsidP="00165B05">
            <w:pPr>
              <w:tabs>
                <w:tab w:val="decimal" w:pos="552"/>
              </w:tabs>
              <w:rPr>
                <w:rFonts w:ascii="Calibri" w:hAnsi="Calibri" w:cs="Calibri"/>
                <w:sz w:val="24"/>
                <w:szCs w:val="24"/>
              </w:rPr>
            </w:pPr>
            <w:r w:rsidRPr="00651CA4">
              <w:rPr>
                <w:rFonts w:ascii="Calibri" w:eastAsia="Times New Roman" w:hAnsi="Calibri" w:cs="Calibri"/>
                <w:sz w:val="24"/>
                <w:szCs w:val="24"/>
                <w:lang w:eastAsia="en-GB"/>
              </w:rPr>
              <w:t>17.5%</w:t>
            </w:r>
          </w:p>
        </w:tc>
        <w:tc>
          <w:tcPr>
            <w:tcW w:w="1612" w:type="dxa"/>
          </w:tcPr>
          <w:p w14:paraId="7810176D" w14:textId="64618427" w:rsidR="00C44973" w:rsidRPr="00651CA4" w:rsidRDefault="008D1414" w:rsidP="00165B05">
            <w:pPr>
              <w:tabs>
                <w:tab w:val="decimal" w:pos="702"/>
              </w:tabs>
              <w:rPr>
                <w:rFonts w:ascii="Calibri" w:hAnsi="Calibri" w:cs="Calibri"/>
                <w:sz w:val="24"/>
                <w:szCs w:val="24"/>
              </w:rPr>
            </w:pPr>
            <w:r w:rsidRPr="00651CA4">
              <w:rPr>
                <w:rFonts w:ascii="Calibri" w:eastAsia="Times New Roman" w:hAnsi="Calibri" w:cs="Calibri"/>
                <w:sz w:val="24"/>
                <w:szCs w:val="24"/>
                <w:lang w:eastAsia="en-GB"/>
              </w:rPr>
              <w:t>24.7%</w:t>
            </w:r>
          </w:p>
        </w:tc>
        <w:tc>
          <w:tcPr>
            <w:tcW w:w="2254" w:type="dxa"/>
          </w:tcPr>
          <w:p w14:paraId="1C5FA6FD" w14:textId="1B1835A2" w:rsidR="00C44973" w:rsidRPr="006F34AC" w:rsidRDefault="008D1414" w:rsidP="00165B05">
            <w:pPr>
              <w:tabs>
                <w:tab w:val="decimal" w:pos="935"/>
              </w:tabs>
              <w:rPr>
                <w:rFonts w:ascii="Calibri" w:hAnsi="Calibri" w:cs="Calibri"/>
                <w:b/>
                <w:bCs/>
                <w:sz w:val="24"/>
                <w:szCs w:val="24"/>
              </w:rPr>
            </w:pPr>
            <w:r w:rsidRPr="006F34AC">
              <w:rPr>
                <w:rFonts w:ascii="Calibri" w:eastAsia="Times New Roman" w:hAnsi="Calibri" w:cs="Calibri"/>
                <w:b/>
                <w:bCs/>
                <w:sz w:val="24"/>
                <w:szCs w:val="24"/>
                <w:lang w:eastAsia="en-GB"/>
              </w:rPr>
              <w:t>7.2%</w:t>
            </w:r>
          </w:p>
        </w:tc>
      </w:tr>
    </w:tbl>
    <w:p w14:paraId="6C75EB89" w14:textId="77777777" w:rsidR="00C44973" w:rsidRPr="00165B05" w:rsidRDefault="00C44973" w:rsidP="005753DB">
      <w:pPr>
        <w:rPr>
          <w:sz w:val="24"/>
          <w:szCs w:val="24"/>
        </w:rPr>
      </w:pPr>
    </w:p>
    <w:p w14:paraId="3AED5D4E" w14:textId="77777777" w:rsidR="006F65F4" w:rsidRDefault="006F65F4">
      <w:pPr>
        <w:rPr>
          <w:b/>
          <w:bCs/>
          <w:sz w:val="24"/>
          <w:szCs w:val="24"/>
        </w:rPr>
      </w:pPr>
    </w:p>
    <w:p w14:paraId="4DFA7C85" w14:textId="120091FD" w:rsidR="0053773A" w:rsidRDefault="0053773A">
      <w:pPr>
        <w:rPr>
          <w:b/>
          <w:bCs/>
          <w:sz w:val="24"/>
          <w:szCs w:val="24"/>
        </w:rPr>
      </w:pPr>
      <w:r>
        <w:rPr>
          <w:b/>
          <w:bCs/>
          <w:sz w:val="24"/>
          <w:szCs w:val="24"/>
        </w:rPr>
        <w:lastRenderedPageBreak/>
        <w:t xml:space="preserve">Table B </w:t>
      </w:r>
      <w:r w:rsidR="006F34AC">
        <w:rPr>
          <w:b/>
          <w:bCs/>
          <w:sz w:val="24"/>
          <w:szCs w:val="24"/>
        </w:rPr>
        <w:tab/>
      </w:r>
      <w:r>
        <w:rPr>
          <w:b/>
          <w:bCs/>
          <w:sz w:val="24"/>
          <w:szCs w:val="24"/>
        </w:rPr>
        <w:t>Change in child poverty by region, 2014/15 to 2018/19</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1"/>
        <w:gridCol w:w="1559"/>
        <w:gridCol w:w="2268"/>
      </w:tblGrid>
      <w:tr w:rsidR="006F34AC" w:rsidRPr="0053773A" w14:paraId="4D7E3554" w14:textId="77777777" w:rsidTr="008A64EE">
        <w:trPr>
          <w:trHeight w:val="255"/>
        </w:trPr>
        <w:tc>
          <w:tcPr>
            <w:tcW w:w="3539" w:type="dxa"/>
            <w:shd w:val="clear" w:color="auto" w:fill="B4C6E7" w:themeFill="accent1" w:themeFillTint="66"/>
            <w:vAlign w:val="bottom"/>
            <w:hideMark/>
          </w:tcPr>
          <w:p w14:paraId="320EF5A3" w14:textId="44E6E2E5" w:rsidR="006F34AC" w:rsidRPr="0053773A" w:rsidRDefault="006F34AC" w:rsidP="0053773A">
            <w:pPr>
              <w:spacing w:after="0" w:line="240" w:lineRule="auto"/>
              <w:rPr>
                <w:rFonts w:ascii="Arial" w:eastAsia="Times New Roman" w:hAnsi="Arial" w:cs="Arial"/>
                <w:b/>
                <w:bCs/>
                <w:sz w:val="20"/>
                <w:szCs w:val="20"/>
                <w:lang w:eastAsia="en-GB"/>
              </w:rPr>
            </w:pPr>
          </w:p>
        </w:tc>
        <w:tc>
          <w:tcPr>
            <w:tcW w:w="5528" w:type="dxa"/>
            <w:gridSpan w:val="3"/>
            <w:shd w:val="clear" w:color="auto" w:fill="B4C6E7" w:themeFill="accent1" w:themeFillTint="66"/>
            <w:vAlign w:val="bottom"/>
          </w:tcPr>
          <w:p w14:paraId="4D5B955F" w14:textId="17D7A82B" w:rsidR="006F34AC" w:rsidRPr="0053773A" w:rsidRDefault="006F34AC" w:rsidP="006F34AC">
            <w:pPr>
              <w:spacing w:after="0" w:line="240" w:lineRule="auto"/>
              <w:jc w:val="center"/>
              <w:rPr>
                <w:rFonts w:ascii="Arial" w:eastAsia="Times New Roman" w:hAnsi="Arial" w:cs="Arial"/>
                <w:b/>
                <w:bCs/>
                <w:sz w:val="20"/>
                <w:szCs w:val="20"/>
                <w:lang w:eastAsia="en-GB"/>
              </w:rPr>
            </w:pPr>
            <w:r w:rsidRPr="006F34AC">
              <w:rPr>
                <w:rFonts w:ascii="Arial" w:eastAsia="Times New Roman" w:hAnsi="Arial" w:cs="Arial"/>
                <w:b/>
                <w:bCs/>
                <w:sz w:val="20"/>
                <w:szCs w:val="20"/>
                <w:lang w:eastAsia="en-GB"/>
              </w:rPr>
              <w:t>Child poverty rate</w:t>
            </w:r>
          </w:p>
        </w:tc>
      </w:tr>
      <w:tr w:rsidR="006F34AC" w:rsidRPr="0053773A" w14:paraId="2009939B" w14:textId="77777777" w:rsidTr="008A64EE">
        <w:trPr>
          <w:trHeight w:val="272"/>
        </w:trPr>
        <w:tc>
          <w:tcPr>
            <w:tcW w:w="3539" w:type="dxa"/>
            <w:shd w:val="clear" w:color="auto" w:fill="B4C6E7" w:themeFill="accent1" w:themeFillTint="66"/>
            <w:vAlign w:val="bottom"/>
          </w:tcPr>
          <w:p w14:paraId="483774C9" w14:textId="689B3D9C" w:rsidR="006F34AC" w:rsidRPr="008A64EE" w:rsidRDefault="008A64EE" w:rsidP="008A64EE">
            <w:pPr>
              <w:spacing w:after="0" w:line="240" w:lineRule="auto"/>
              <w:rPr>
                <w:rFonts w:ascii="Arial" w:eastAsia="Times New Roman" w:hAnsi="Arial" w:cs="Arial"/>
                <w:sz w:val="20"/>
                <w:szCs w:val="20"/>
                <w:lang w:eastAsia="en-GB"/>
              </w:rPr>
            </w:pPr>
            <w:r w:rsidRPr="0053773A">
              <w:rPr>
                <w:rFonts w:ascii="Arial" w:eastAsia="Times New Roman" w:hAnsi="Arial" w:cs="Arial"/>
                <w:sz w:val="20"/>
                <w:szCs w:val="20"/>
                <w:lang w:eastAsia="en-GB"/>
              </w:rPr>
              <w:t> </w:t>
            </w:r>
            <w:r w:rsidRPr="008A64EE">
              <w:rPr>
                <w:rFonts w:ascii="Arial" w:eastAsia="Times New Roman" w:hAnsi="Arial" w:cs="Arial"/>
                <w:sz w:val="20"/>
                <w:szCs w:val="20"/>
                <w:lang w:eastAsia="en-GB"/>
              </w:rPr>
              <w:t>Region</w:t>
            </w:r>
          </w:p>
        </w:tc>
        <w:tc>
          <w:tcPr>
            <w:tcW w:w="1701" w:type="dxa"/>
            <w:shd w:val="clear" w:color="auto" w:fill="B4C6E7" w:themeFill="accent1" w:themeFillTint="66"/>
            <w:vAlign w:val="bottom"/>
          </w:tcPr>
          <w:p w14:paraId="12881FB5" w14:textId="621B2B4D" w:rsidR="006F34AC" w:rsidRPr="0053773A" w:rsidRDefault="006F34AC" w:rsidP="006F34A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2014/15</w:t>
            </w:r>
          </w:p>
        </w:tc>
        <w:tc>
          <w:tcPr>
            <w:tcW w:w="1559" w:type="dxa"/>
            <w:shd w:val="clear" w:color="auto" w:fill="B4C6E7" w:themeFill="accent1" w:themeFillTint="66"/>
            <w:vAlign w:val="bottom"/>
          </w:tcPr>
          <w:p w14:paraId="0B3530AF" w14:textId="48583F58" w:rsidR="006F34AC" w:rsidRPr="0053773A" w:rsidRDefault="006F34AC" w:rsidP="006F34A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2018/19</w:t>
            </w:r>
          </w:p>
        </w:tc>
        <w:tc>
          <w:tcPr>
            <w:tcW w:w="2268" w:type="dxa"/>
            <w:shd w:val="clear" w:color="auto" w:fill="B4C6E7" w:themeFill="accent1" w:themeFillTint="66"/>
            <w:vAlign w:val="bottom"/>
          </w:tcPr>
          <w:p w14:paraId="12995975" w14:textId="374B6902" w:rsidR="006F34AC" w:rsidRPr="008A64EE" w:rsidRDefault="006F34AC" w:rsidP="006F34AC">
            <w:pPr>
              <w:spacing w:after="0" w:line="240" w:lineRule="auto"/>
              <w:jc w:val="center"/>
              <w:rPr>
                <w:rFonts w:ascii="Arial" w:eastAsia="Times New Roman" w:hAnsi="Arial" w:cs="Arial"/>
                <w:sz w:val="20"/>
                <w:szCs w:val="20"/>
                <w:lang w:eastAsia="en-GB"/>
              </w:rPr>
            </w:pPr>
            <w:r w:rsidRPr="008A64EE">
              <w:rPr>
                <w:rFonts w:ascii="Arial" w:eastAsia="Times New Roman" w:hAnsi="Arial" w:cs="Arial"/>
                <w:sz w:val="20"/>
                <w:szCs w:val="20"/>
                <w:lang w:eastAsia="en-GB"/>
              </w:rPr>
              <w:t>%age point increase</w:t>
            </w:r>
          </w:p>
        </w:tc>
      </w:tr>
      <w:tr w:rsidR="008A64EE" w:rsidRPr="0053773A" w14:paraId="7ECB10C7" w14:textId="77777777" w:rsidTr="006F34AC">
        <w:trPr>
          <w:trHeight w:val="255"/>
        </w:trPr>
        <w:tc>
          <w:tcPr>
            <w:tcW w:w="3539" w:type="dxa"/>
            <w:shd w:val="clear" w:color="auto" w:fill="auto"/>
            <w:noWrap/>
            <w:vAlign w:val="bottom"/>
            <w:hideMark/>
          </w:tcPr>
          <w:p w14:paraId="7DD0ACDB" w14:textId="09F2B4B2" w:rsidR="008A64EE" w:rsidRPr="0053773A" w:rsidRDefault="008A64EE" w:rsidP="008A64EE">
            <w:pPr>
              <w:spacing w:after="0" w:line="240" w:lineRule="auto"/>
              <w:rPr>
                <w:rFonts w:ascii="Arial" w:eastAsia="Times New Roman" w:hAnsi="Arial" w:cs="Arial"/>
                <w:sz w:val="20"/>
                <w:szCs w:val="20"/>
                <w:lang w:eastAsia="en-GB"/>
              </w:rPr>
            </w:pPr>
            <w:r>
              <w:rPr>
                <w:rFonts w:ascii="Arial" w:hAnsi="Arial" w:cs="Arial"/>
                <w:sz w:val="20"/>
                <w:szCs w:val="20"/>
              </w:rPr>
              <w:t>NORTH EAST</w:t>
            </w:r>
          </w:p>
        </w:tc>
        <w:tc>
          <w:tcPr>
            <w:tcW w:w="1701" w:type="dxa"/>
            <w:shd w:val="clear" w:color="auto" w:fill="auto"/>
            <w:noWrap/>
            <w:vAlign w:val="bottom"/>
            <w:hideMark/>
          </w:tcPr>
          <w:p w14:paraId="4984497D" w14:textId="1A02570A"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17.3%</w:t>
            </w:r>
          </w:p>
        </w:tc>
        <w:tc>
          <w:tcPr>
            <w:tcW w:w="1559" w:type="dxa"/>
            <w:shd w:val="clear" w:color="auto" w:fill="auto"/>
            <w:noWrap/>
            <w:vAlign w:val="bottom"/>
            <w:hideMark/>
          </w:tcPr>
          <w:p w14:paraId="73042B08" w14:textId="1AF96D0B"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23.7%</w:t>
            </w:r>
          </w:p>
        </w:tc>
        <w:tc>
          <w:tcPr>
            <w:tcW w:w="2268" w:type="dxa"/>
            <w:shd w:val="clear" w:color="auto" w:fill="auto"/>
            <w:noWrap/>
            <w:vAlign w:val="bottom"/>
            <w:hideMark/>
          </w:tcPr>
          <w:p w14:paraId="01F3BDF5" w14:textId="38E32639" w:rsidR="008A64EE" w:rsidRPr="0053773A" w:rsidRDefault="008A64EE" w:rsidP="008A64EE">
            <w:pPr>
              <w:spacing w:after="0" w:line="240" w:lineRule="auto"/>
              <w:jc w:val="center"/>
              <w:rPr>
                <w:rFonts w:ascii="Arial" w:eastAsia="Times New Roman" w:hAnsi="Arial" w:cs="Arial"/>
                <w:b/>
                <w:bCs/>
                <w:sz w:val="20"/>
                <w:szCs w:val="20"/>
                <w:lang w:eastAsia="en-GB"/>
              </w:rPr>
            </w:pPr>
            <w:r>
              <w:rPr>
                <w:rFonts w:ascii="Arial" w:hAnsi="Arial" w:cs="Arial"/>
                <w:b/>
                <w:bCs/>
                <w:sz w:val="20"/>
                <w:szCs w:val="20"/>
              </w:rPr>
              <w:t>6.5%</w:t>
            </w:r>
          </w:p>
        </w:tc>
      </w:tr>
      <w:tr w:rsidR="008A64EE" w:rsidRPr="0053773A" w14:paraId="23B467B3" w14:textId="77777777" w:rsidTr="006F34AC">
        <w:trPr>
          <w:trHeight w:val="255"/>
        </w:trPr>
        <w:tc>
          <w:tcPr>
            <w:tcW w:w="3539" w:type="dxa"/>
            <w:shd w:val="clear" w:color="auto" w:fill="auto"/>
            <w:noWrap/>
            <w:vAlign w:val="bottom"/>
            <w:hideMark/>
          </w:tcPr>
          <w:p w14:paraId="4F4FAC03" w14:textId="538B1489" w:rsidR="008A64EE" w:rsidRPr="0053773A" w:rsidRDefault="008A64EE" w:rsidP="008A64EE">
            <w:pPr>
              <w:spacing w:after="0" w:line="240" w:lineRule="auto"/>
              <w:rPr>
                <w:rFonts w:ascii="Arial" w:eastAsia="Times New Roman" w:hAnsi="Arial" w:cs="Arial"/>
                <w:sz w:val="20"/>
                <w:szCs w:val="20"/>
                <w:lang w:eastAsia="en-GB"/>
              </w:rPr>
            </w:pPr>
            <w:r>
              <w:rPr>
                <w:rFonts w:ascii="Arial" w:hAnsi="Arial" w:cs="Arial"/>
                <w:sz w:val="20"/>
                <w:szCs w:val="20"/>
              </w:rPr>
              <w:t>WEST MIDLANDS</w:t>
            </w:r>
          </w:p>
        </w:tc>
        <w:tc>
          <w:tcPr>
            <w:tcW w:w="1701" w:type="dxa"/>
            <w:shd w:val="clear" w:color="auto" w:fill="auto"/>
            <w:noWrap/>
            <w:vAlign w:val="bottom"/>
            <w:hideMark/>
          </w:tcPr>
          <w:p w14:paraId="3E86DA76" w14:textId="1C22A909"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19.1%</w:t>
            </w:r>
          </w:p>
        </w:tc>
        <w:tc>
          <w:tcPr>
            <w:tcW w:w="1559" w:type="dxa"/>
            <w:shd w:val="clear" w:color="auto" w:fill="auto"/>
            <w:noWrap/>
            <w:vAlign w:val="bottom"/>
            <w:hideMark/>
          </w:tcPr>
          <w:p w14:paraId="5677C5DF" w14:textId="4E238EBA"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23.8%</w:t>
            </w:r>
          </w:p>
        </w:tc>
        <w:tc>
          <w:tcPr>
            <w:tcW w:w="2268" w:type="dxa"/>
            <w:shd w:val="clear" w:color="auto" w:fill="auto"/>
            <w:noWrap/>
            <w:vAlign w:val="bottom"/>
            <w:hideMark/>
          </w:tcPr>
          <w:p w14:paraId="4BEED028" w14:textId="0E3B568C" w:rsidR="008A64EE" w:rsidRPr="0053773A" w:rsidRDefault="008A64EE" w:rsidP="008A64EE">
            <w:pPr>
              <w:spacing w:after="0" w:line="240" w:lineRule="auto"/>
              <w:jc w:val="center"/>
              <w:rPr>
                <w:rFonts w:ascii="Arial" w:eastAsia="Times New Roman" w:hAnsi="Arial" w:cs="Arial"/>
                <w:b/>
                <w:bCs/>
                <w:sz w:val="20"/>
                <w:szCs w:val="20"/>
                <w:lang w:eastAsia="en-GB"/>
              </w:rPr>
            </w:pPr>
            <w:r>
              <w:rPr>
                <w:rFonts w:ascii="Arial" w:hAnsi="Arial" w:cs="Arial"/>
                <w:b/>
                <w:bCs/>
                <w:sz w:val="20"/>
                <w:szCs w:val="20"/>
              </w:rPr>
              <w:t>4.7%</w:t>
            </w:r>
          </w:p>
        </w:tc>
      </w:tr>
      <w:tr w:rsidR="008A64EE" w:rsidRPr="0053773A" w14:paraId="6BFFFECB" w14:textId="77777777" w:rsidTr="006F34AC">
        <w:trPr>
          <w:trHeight w:val="255"/>
        </w:trPr>
        <w:tc>
          <w:tcPr>
            <w:tcW w:w="3539" w:type="dxa"/>
            <w:shd w:val="clear" w:color="auto" w:fill="auto"/>
            <w:noWrap/>
            <w:vAlign w:val="bottom"/>
            <w:hideMark/>
          </w:tcPr>
          <w:p w14:paraId="5AFAF759" w14:textId="1B722E97" w:rsidR="008A64EE" w:rsidRPr="0053773A" w:rsidRDefault="008A64EE" w:rsidP="008A64EE">
            <w:pPr>
              <w:spacing w:after="0" w:line="240" w:lineRule="auto"/>
              <w:rPr>
                <w:rFonts w:ascii="Arial" w:eastAsia="Times New Roman" w:hAnsi="Arial" w:cs="Arial"/>
                <w:sz w:val="20"/>
                <w:szCs w:val="20"/>
                <w:lang w:eastAsia="en-GB"/>
              </w:rPr>
            </w:pPr>
            <w:r>
              <w:rPr>
                <w:rFonts w:ascii="Arial" w:hAnsi="Arial" w:cs="Arial"/>
                <w:sz w:val="20"/>
                <w:szCs w:val="20"/>
              </w:rPr>
              <w:t>NORTH WEST</w:t>
            </w:r>
          </w:p>
        </w:tc>
        <w:tc>
          <w:tcPr>
            <w:tcW w:w="1701" w:type="dxa"/>
            <w:shd w:val="clear" w:color="auto" w:fill="auto"/>
            <w:noWrap/>
            <w:vAlign w:val="bottom"/>
            <w:hideMark/>
          </w:tcPr>
          <w:p w14:paraId="68EFE972" w14:textId="6053ACEE"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18.5%</w:t>
            </w:r>
          </w:p>
        </w:tc>
        <w:tc>
          <w:tcPr>
            <w:tcW w:w="1559" w:type="dxa"/>
            <w:shd w:val="clear" w:color="auto" w:fill="auto"/>
            <w:noWrap/>
            <w:vAlign w:val="bottom"/>
            <w:hideMark/>
          </w:tcPr>
          <w:p w14:paraId="56DBABA1" w14:textId="6AE19CEF"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23.0%</w:t>
            </w:r>
          </w:p>
        </w:tc>
        <w:tc>
          <w:tcPr>
            <w:tcW w:w="2268" w:type="dxa"/>
            <w:shd w:val="clear" w:color="auto" w:fill="auto"/>
            <w:noWrap/>
            <w:vAlign w:val="bottom"/>
            <w:hideMark/>
          </w:tcPr>
          <w:p w14:paraId="44542AEF" w14:textId="1A7B4327" w:rsidR="008A64EE" w:rsidRPr="0053773A" w:rsidRDefault="008A64EE" w:rsidP="008A64EE">
            <w:pPr>
              <w:spacing w:after="0" w:line="240" w:lineRule="auto"/>
              <w:jc w:val="center"/>
              <w:rPr>
                <w:rFonts w:ascii="Arial" w:eastAsia="Times New Roman" w:hAnsi="Arial" w:cs="Arial"/>
                <w:b/>
                <w:bCs/>
                <w:sz w:val="20"/>
                <w:szCs w:val="20"/>
                <w:lang w:eastAsia="en-GB"/>
              </w:rPr>
            </w:pPr>
            <w:r>
              <w:rPr>
                <w:rFonts w:ascii="Arial" w:hAnsi="Arial" w:cs="Arial"/>
                <w:b/>
                <w:bCs/>
                <w:sz w:val="20"/>
                <w:szCs w:val="20"/>
              </w:rPr>
              <w:t>4.5%</w:t>
            </w:r>
          </w:p>
        </w:tc>
      </w:tr>
      <w:tr w:rsidR="008A64EE" w:rsidRPr="0053773A" w14:paraId="414E25BF" w14:textId="77777777" w:rsidTr="006F34AC">
        <w:trPr>
          <w:trHeight w:val="255"/>
        </w:trPr>
        <w:tc>
          <w:tcPr>
            <w:tcW w:w="3539" w:type="dxa"/>
            <w:shd w:val="clear" w:color="auto" w:fill="auto"/>
            <w:noWrap/>
            <w:vAlign w:val="bottom"/>
            <w:hideMark/>
          </w:tcPr>
          <w:p w14:paraId="56DEA822" w14:textId="7DFB74FC" w:rsidR="008A64EE" w:rsidRPr="0053773A" w:rsidRDefault="008A64EE" w:rsidP="008A64EE">
            <w:pPr>
              <w:spacing w:after="0" w:line="240" w:lineRule="auto"/>
              <w:rPr>
                <w:rFonts w:ascii="Arial" w:eastAsia="Times New Roman" w:hAnsi="Arial" w:cs="Arial"/>
                <w:sz w:val="20"/>
                <w:szCs w:val="20"/>
                <w:lang w:eastAsia="en-GB"/>
              </w:rPr>
            </w:pPr>
            <w:r>
              <w:rPr>
                <w:rFonts w:ascii="Arial" w:hAnsi="Arial" w:cs="Arial"/>
                <w:sz w:val="20"/>
                <w:szCs w:val="20"/>
              </w:rPr>
              <w:t>YORKSHIRE AND HUMBERSIDE</w:t>
            </w:r>
          </w:p>
        </w:tc>
        <w:tc>
          <w:tcPr>
            <w:tcW w:w="1701" w:type="dxa"/>
            <w:shd w:val="clear" w:color="auto" w:fill="auto"/>
            <w:noWrap/>
            <w:vAlign w:val="bottom"/>
            <w:hideMark/>
          </w:tcPr>
          <w:p w14:paraId="36E4F9E4" w14:textId="1E4E5D24"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19.2%</w:t>
            </w:r>
          </w:p>
        </w:tc>
        <w:tc>
          <w:tcPr>
            <w:tcW w:w="1559" w:type="dxa"/>
            <w:shd w:val="clear" w:color="auto" w:fill="auto"/>
            <w:noWrap/>
            <w:vAlign w:val="bottom"/>
            <w:hideMark/>
          </w:tcPr>
          <w:p w14:paraId="09537BFE" w14:textId="2B2CA279"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23.4%</w:t>
            </w:r>
          </w:p>
        </w:tc>
        <w:tc>
          <w:tcPr>
            <w:tcW w:w="2268" w:type="dxa"/>
            <w:shd w:val="clear" w:color="auto" w:fill="auto"/>
            <w:noWrap/>
            <w:vAlign w:val="bottom"/>
            <w:hideMark/>
          </w:tcPr>
          <w:p w14:paraId="62C882C8" w14:textId="43C18266" w:rsidR="008A64EE" w:rsidRPr="0053773A" w:rsidRDefault="008A64EE" w:rsidP="008A64EE">
            <w:pPr>
              <w:spacing w:after="0" w:line="240" w:lineRule="auto"/>
              <w:jc w:val="center"/>
              <w:rPr>
                <w:rFonts w:ascii="Arial" w:eastAsia="Times New Roman" w:hAnsi="Arial" w:cs="Arial"/>
                <w:b/>
                <w:bCs/>
                <w:sz w:val="20"/>
                <w:szCs w:val="20"/>
                <w:lang w:eastAsia="en-GB"/>
              </w:rPr>
            </w:pPr>
            <w:r>
              <w:rPr>
                <w:rFonts w:ascii="Arial" w:hAnsi="Arial" w:cs="Arial"/>
                <w:b/>
                <w:bCs/>
                <w:sz w:val="20"/>
                <w:szCs w:val="20"/>
              </w:rPr>
              <w:t>4.2%</w:t>
            </w:r>
          </w:p>
        </w:tc>
      </w:tr>
      <w:tr w:rsidR="008A64EE" w:rsidRPr="0053773A" w14:paraId="0C47B1D6" w14:textId="77777777" w:rsidTr="006F34AC">
        <w:trPr>
          <w:trHeight w:val="255"/>
        </w:trPr>
        <w:tc>
          <w:tcPr>
            <w:tcW w:w="3539" w:type="dxa"/>
            <w:shd w:val="clear" w:color="auto" w:fill="auto"/>
            <w:noWrap/>
            <w:vAlign w:val="bottom"/>
            <w:hideMark/>
          </w:tcPr>
          <w:p w14:paraId="6E0AEA39" w14:textId="2CFE0A27" w:rsidR="008A64EE" w:rsidRPr="0053773A" w:rsidRDefault="008A64EE" w:rsidP="008A64EE">
            <w:pPr>
              <w:spacing w:after="0" w:line="240" w:lineRule="auto"/>
              <w:rPr>
                <w:rFonts w:ascii="Arial" w:eastAsia="Times New Roman" w:hAnsi="Arial" w:cs="Arial"/>
                <w:sz w:val="20"/>
                <w:szCs w:val="20"/>
                <w:lang w:eastAsia="en-GB"/>
              </w:rPr>
            </w:pPr>
            <w:r>
              <w:rPr>
                <w:rFonts w:ascii="Arial" w:hAnsi="Arial" w:cs="Arial"/>
                <w:sz w:val="20"/>
                <w:szCs w:val="20"/>
              </w:rPr>
              <w:t>SCOTLAND</w:t>
            </w:r>
          </w:p>
        </w:tc>
        <w:tc>
          <w:tcPr>
            <w:tcW w:w="1701" w:type="dxa"/>
            <w:shd w:val="clear" w:color="auto" w:fill="auto"/>
            <w:noWrap/>
            <w:vAlign w:val="bottom"/>
            <w:hideMark/>
          </w:tcPr>
          <w:p w14:paraId="33C884BE" w14:textId="0C21B92A"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14.5%</w:t>
            </w:r>
          </w:p>
        </w:tc>
        <w:tc>
          <w:tcPr>
            <w:tcW w:w="1559" w:type="dxa"/>
            <w:shd w:val="clear" w:color="auto" w:fill="auto"/>
            <w:noWrap/>
            <w:vAlign w:val="bottom"/>
            <w:hideMark/>
          </w:tcPr>
          <w:p w14:paraId="2E994690" w14:textId="35374BF4"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18.1%</w:t>
            </w:r>
          </w:p>
        </w:tc>
        <w:tc>
          <w:tcPr>
            <w:tcW w:w="2268" w:type="dxa"/>
            <w:shd w:val="clear" w:color="auto" w:fill="auto"/>
            <w:noWrap/>
            <w:vAlign w:val="bottom"/>
            <w:hideMark/>
          </w:tcPr>
          <w:p w14:paraId="4934DE79" w14:textId="60613352" w:rsidR="008A64EE" w:rsidRPr="0053773A" w:rsidRDefault="008A64EE" w:rsidP="008A64EE">
            <w:pPr>
              <w:spacing w:after="0" w:line="240" w:lineRule="auto"/>
              <w:jc w:val="center"/>
              <w:rPr>
                <w:rFonts w:ascii="Arial" w:eastAsia="Times New Roman" w:hAnsi="Arial" w:cs="Arial"/>
                <w:b/>
                <w:bCs/>
                <w:sz w:val="20"/>
                <w:szCs w:val="20"/>
                <w:lang w:eastAsia="en-GB"/>
              </w:rPr>
            </w:pPr>
            <w:r>
              <w:rPr>
                <w:rFonts w:ascii="Arial" w:hAnsi="Arial" w:cs="Arial"/>
                <w:b/>
                <w:bCs/>
                <w:sz w:val="20"/>
                <w:szCs w:val="20"/>
              </w:rPr>
              <w:t>3.6%</w:t>
            </w:r>
          </w:p>
        </w:tc>
      </w:tr>
      <w:tr w:rsidR="008A64EE" w:rsidRPr="0053773A" w14:paraId="20A27CD8" w14:textId="77777777" w:rsidTr="006F34AC">
        <w:trPr>
          <w:trHeight w:val="255"/>
        </w:trPr>
        <w:tc>
          <w:tcPr>
            <w:tcW w:w="3539" w:type="dxa"/>
            <w:shd w:val="clear" w:color="auto" w:fill="auto"/>
            <w:noWrap/>
            <w:vAlign w:val="bottom"/>
            <w:hideMark/>
          </w:tcPr>
          <w:p w14:paraId="357E051B" w14:textId="2DD4CD1B" w:rsidR="008A64EE" w:rsidRPr="0053773A" w:rsidRDefault="008A64EE" w:rsidP="008A64EE">
            <w:pPr>
              <w:spacing w:after="0" w:line="240" w:lineRule="auto"/>
              <w:rPr>
                <w:rFonts w:ascii="Arial" w:eastAsia="Times New Roman" w:hAnsi="Arial" w:cs="Arial"/>
                <w:sz w:val="20"/>
                <w:szCs w:val="20"/>
                <w:lang w:eastAsia="en-GB"/>
              </w:rPr>
            </w:pPr>
            <w:r>
              <w:rPr>
                <w:rFonts w:ascii="Arial" w:hAnsi="Arial" w:cs="Arial"/>
                <w:sz w:val="20"/>
                <w:szCs w:val="20"/>
              </w:rPr>
              <w:t>LONDON</w:t>
            </w:r>
          </w:p>
        </w:tc>
        <w:tc>
          <w:tcPr>
            <w:tcW w:w="1701" w:type="dxa"/>
            <w:shd w:val="clear" w:color="auto" w:fill="auto"/>
            <w:noWrap/>
            <w:vAlign w:val="bottom"/>
            <w:hideMark/>
          </w:tcPr>
          <w:p w14:paraId="3E96B6A6" w14:textId="7A19F5FA"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14.2%</w:t>
            </w:r>
          </w:p>
        </w:tc>
        <w:tc>
          <w:tcPr>
            <w:tcW w:w="1559" w:type="dxa"/>
            <w:shd w:val="clear" w:color="auto" w:fill="auto"/>
            <w:noWrap/>
            <w:vAlign w:val="bottom"/>
            <w:hideMark/>
          </w:tcPr>
          <w:p w14:paraId="36E9CFFA" w14:textId="4CCB15E0"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17.5%</w:t>
            </w:r>
          </w:p>
        </w:tc>
        <w:tc>
          <w:tcPr>
            <w:tcW w:w="2268" w:type="dxa"/>
            <w:shd w:val="clear" w:color="auto" w:fill="auto"/>
            <w:noWrap/>
            <w:vAlign w:val="bottom"/>
            <w:hideMark/>
          </w:tcPr>
          <w:p w14:paraId="42DC8336" w14:textId="446C4448" w:rsidR="008A64EE" w:rsidRPr="0053773A" w:rsidRDefault="008A64EE" w:rsidP="008A64EE">
            <w:pPr>
              <w:spacing w:after="0" w:line="240" w:lineRule="auto"/>
              <w:jc w:val="center"/>
              <w:rPr>
                <w:rFonts w:ascii="Arial" w:eastAsia="Times New Roman" w:hAnsi="Arial" w:cs="Arial"/>
                <w:b/>
                <w:bCs/>
                <w:sz w:val="20"/>
                <w:szCs w:val="20"/>
                <w:lang w:eastAsia="en-GB"/>
              </w:rPr>
            </w:pPr>
            <w:r>
              <w:rPr>
                <w:rFonts w:ascii="Arial" w:hAnsi="Arial" w:cs="Arial"/>
                <w:b/>
                <w:bCs/>
                <w:sz w:val="20"/>
                <w:szCs w:val="20"/>
              </w:rPr>
              <w:t>3.4%</w:t>
            </w:r>
          </w:p>
        </w:tc>
      </w:tr>
      <w:tr w:rsidR="008A64EE" w:rsidRPr="0053773A" w14:paraId="0EA5B2D3" w14:textId="77777777" w:rsidTr="006F34AC">
        <w:trPr>
          <w:trHeight w:val="255"/>
        </w:trPr>
        <w:tc>
          <w:tcPr>
            <w:tcW w:w="3539" w:type="dxa"/>
            <w:shd w:val="clear" w:color="auto" w:fill="auto"/>
            <w:noWrap/>
            <w:vAlign w:val="bottom"/>
            <w:hideMark/>
          </w:tcPr>
          <w:p w14:paraId="149C3639" w14:textId="576A4C3B" w:rsidR="008A64EE" w:rsidRPr="0053773A" w:rsidRDefault="008A64EE" w:rsidP="008A64EE">
            <w:pPr>
              <w:spacing w:after="0" w:line="240" w:lineRule="auto"/>
              <w:rPr>
                <w:rFonts w:ascii="Arial" w:eastAsia="Times New Roman" w:hAnsi="Arial" w:cs="Arial"/>
                <w:sz w:val="20"/>
                <w:szCs w:val="20"/>
                <w:lang w:eastAsia="en-GB"/>
              </w:rPr>
            </w:pPr>
            <w:r>
              <w:rPr>
                <w:rFonts w:ascii="Arial" w:hAnsi="Arial" w:cs="Arial"/>
                <w:sz w:val="20"/>
                <w:szCs w:val="20"/>
              </w:rPr>
              <w:t>SOUTH EAST</w:t>
            </w:r>
          </w:p>
        </w:tc>
        <w:tc>
          <w:tcPr>
            <w:tcW w:w="1701" w:type="dxa"/>
            <w:shd w:val="clear" w:color="auto" w:fill="auto"/>
            <w:noWrap/>
            <w:vAlign w:val="bottom"/>
            <w:hideMark/>
          </w:tcPr>
          <w:p w14:paraId="47D8F4AF" w14:textId="7D1D8D96"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10.8%</w:t>
            </w:r>
          </w:p>
        </w:tc>
        <w:tc>
          <w:tcPr>
            <w:tcW w:w="1559" w:type="dxa"/>
            <w:shd w:val="clear" w:color="auto" w:fill="auto"/>
            <w:noWrap/>
            <w:vAlign w:val="bottom"/>
            <w:hideMark/>
          </w:tcPr>
          <w:p w14:paraId="692FBE74" w14:textId="7B42A7AE"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13.7%</w:t>
            </w:r>
          </w:p>
        </w:tc>
        <w:tc>
          <w:tcPr>
            <w:tcW w:w="2268" w:type="dxa"/>
            <w:shd w:val="clear" w:color="auto" w:fill="auto"/>
            <w:noWrap/>
            <w:vAlign w:val="bottom"/>
            <w:hideMark/>
          </w:tcPr>
          <w:p w14:paraId="67AA6305" w14:textId="5BC92E5B" w:rsidR="008A64EE" w:rsidRPr="0053773A" w:rsidRDefault="008A64EE" w:rsidP="008A64EE">
            <w:pPr>
              <w:spacing w:after="0" w:line="240" w:lineRule="auto"/>
              <w:jc w:val="center"/>
              <w:rPr>
                <w:rFonts w:ascii="Arial" w:eastAsia="Times New Roman" w:hAnsi="Arial" w:cs="Arial"/>
                <w:b/>
                <w:bCs/>
                <w:sz w:val="20"/>
                <w:szCs w:val="20"/>
                <w:lang w:eastAsia="en-GB"/>
              </w:rPr>
            </w:pPr>
            <w:r>
              <w:rPr>
                <w:rFonts w:ascii="Arial" w:hAnsi="Arial" w:cs="Arial"/>
                <w:b/>
                <w:bCs/>
                <w:sz w:val="20"/>
                <w:szCs w:val="20"/>
              </w:rPr>
              <w:t>2.9%</w:t>
            </w:r>
          </w:p>
        </w:tc>
      </w:tr>
      <w:tr w:rsidR="008A64EE" w:rsidRPr="0053773A" w14:paraId="73356DF2" w14:textId="77777777" w:rsidTr="006F34AC">
        <w:trPr>
          <w:trHeight w:val="255"/>
        </w:trPr>
        <w:tc>
          <w:tcPr>
            <w:tcW w:w="3539" w:type="dxa"/>
            <w:shd w:val="clear" w:color="auto" w:fill="auto"/>
            <w:noWrap/>
            <w:vAlign w:val="bottom"/>
            <w:hideMark/>
          </w:tcPr>
          <w:p w14:paraId="05CA13BC" w14:textId="4DC80037" w:rsidR="008A64EE" w:rsidRPr="0053773A" w:rsidRDefault="008A64EE" w:rsidP="008A64EE">
            <w:pPr>
              <w:spacing w:after="0" w:line="240" w:lineRule="auto"/>
              <w:rPr>
                <w:rFonts w:ascii="Arial" w:eastAsia="Times New Roman" w:hAnsi="Arial" w:cs="Arial"/>
                <w:sz w:val="20"/>
                <w:szCs w:val="20"/>
                <w:lang w:eastAsia="en-GB"/>
              </w:rPr>
            </w:pPr>
            <w:r>
              <w:rPr>
                <w:rFonts w:ascii="Arial" w:hAnsi="Arial" w:cs="Arial"/>
                <w:sz w:val="20"/>
                <w:szCs w:val="20"/>
              </w:rPr>
              <w:t>EAST</w:t>
            </w:r>
          </w:p>
        </w:tc>
        <w:tc>
          <w:tcPr>
            <w:tcW w:w="1701" w:type="dxa"/>
            <w:shd w:val="clear" w:color="auto" w:fill="auto"/>
            <w:noWrap/>
            <w:vAlign w:val="bottom"/>
            <w:hideMark/>
          </w:tcPr>
          <w:p w14:paraId="3463C6EC" w14:textId="4E69F7E6"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13.1%</w:t>
            </w:r>
          </w:p>
        </w:tc>
        <w:tc>
          <w:tcPr>
            <w:tcW w:w="1559" w:type="dxa"/>
            <w:shd w:val="clear" w:color="auto" w:fill="auto"/>
            <w:noWrap/>
            <w:vAlign w:val="bottom"/>
            <w:hideMark/>
          </w:tcPr>
          <w:p w14:paraId="72D32B57" w14:textId="17AC672F"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15.4%</w:t>
            </w:r>
          </w:p>
        </w:tc>
        <w:tc>
          <w:tcPr>
            <w:tcW w:w="2268" w:type="dxa"/>
            <w:shd w:val="clear" w:color="auto" w:fill="auto"/>
            <w:noWrap/>
            <w:vAlign w:val="bottom"/>
            <w:hideMark/>
          </w:tcPr>
          <w:p w14:paraId="2A32A01E" w14:textId="18FD9FF9" w:rsidR="008A64EE" w:rsidRPr="0053773A" w:rsidRDefault="008A64EE" w:rsidP="008A64EE">
            <w:pPr>
              <w:spacing w:after="0" w:line="240" w:lineRule="auto"/>
              <w:jc w:val="center"/>
              <w:rPr>
                <w:rFonts w:ascii="Arial" w:eastAsia="Times New Roman" w:hAnsi="Arial" w:cs="Arial"/>
                <w:b/>
                <w:bCs/>
                <w:sz w:val="20"/>
                <w:szCs w:val="20"/>
                <w:lang w:eastAsia="en-GB"/>
              </w:rPr>
            </w:pPr>
            <w:r>
              <w:rPr>
                <w:rFonts w:ascii="Arial" w:hAnsi="Arial" w:cs="Arial"/>
                <w:b/>
                <w:bCs/>
                <w:sz w:val="20"/>
                <w:szCs w:val="20"/>
              </w:rPr>
              <w:t>2.2%</w:t>
            </w:r>
          </w:p>
        </w:tc>
      </w:tr>
      <w:tr w:rsidR="008A64EE" w:rsidRPr="0053773A" w14:paraId="251085DB" w14:textId="77777777" w:rsidTr="006F34AC">
        <w:trPr>
          <w:trHeight w:val="255"/>
        </w:trPr>
        <w:tc>
          <w:tcPr>
            <w:tcW w:w="3539" w:type="dxa"/>
            <w:shd w:val="clear" w:color="auto" w:fill="auto"/>
            <w:noWrap/>
            <w:vAlign w:val="bottom"/>
            <w:hideMark/>
          </w:tcPr>
          <w:p w14:paraId="63C7CEF4" w14:textId="67FC28DD" w:rsidR="008A64EE" w:rsidRPr="0053773A" w:rsidRDefault="008A64EE" w:rsidP="008A64EE">
            <w:pPr>
              <w:spacing w:after="0" w:line="240" w:lineRule="auto"/>
              <w:rPr>
                <w:rFonts w:ascii="Arial" w:eastAsia="Times New Roman" w:hAnsi="Arial" w:cs="Arial"/>
                <w:sz w:val="20"/>
                <w:szCs w:val="20"/>
                <w:lang w:eastAsia="en-GB"/>
              </w:rPr>
            </w:pPr>
            <w:r>
              <w:rPr>
                <w:rFonts w:ascii="Arial" w:hAnsi="Arial" w:cs="Arial"/>
                <w:sz w:val="20"/>
                <w:szCs w:val="20"/>
              </w:rPr>
              <w:t>EAST MIDLANDS</w:t>
            </w:r>
          </w:p>
        </w:tc>
        <w:tc>
          <w:tcPr>
            <w:tcW w:w="1701" w:type="dxa"/>
            <w:shd w:val="clear" w:color="auto" w:fill="auto"/>
            <w:noWrap/>
            <w:vAlign w:val="bottom"/>
            <w:hideMark/>
          </w:tcPr>
          <w:p w14:paraId="035B522B" w14:textId="77D5523A"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16.6%</w:t>
            </w:r>
          </w:p>
        </w:tc>
        <w:tc>
          <w:tcPr>
            <w:tcW w:w="1559" w:type="dxa"/>
            <w:shd w:val="clear" w:color="auto" w:fill="auto"/>
            <w:noWrap/>
            <w:vAlign w:val="bottom"/>
            <w:hideMark/>
          </w:tcPr>
          <w:p w14:paraId="616BE1D5" w14:textId="6D850FE5"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16.6%</w:t>
            </w:r>
          </w:p>
        </w:tc>
        <w:tc>
          <w:tcPr>
            <w:tcW w:w="2268" w:type="dxa"/>
            <w:shd w:val="clear" w:color="auto" w:fill="auto"/>
            <w:noWrap/>
            <w:vAlign w:val="bottom"/>
            <w:hideMark/>
          </w:tcPr>
          <w:p w14:paraId="02C39AA6" w14:textId="6893EE67" w:rsidR="008A64EE" w:rsidRPr="0053773A" w:rsidRDefault="008A64EE" w:rsidP="008A64EE">
            <w:pPr>
              <w:spacing w:after="0" w:line="240" w:lineRule="auto"/>
              <w:jc w:val="center"/>
              <w:rPr>
                <w:rFonts w:ascii="Arial" w:eastAsia="Times New Roman" w:hAnsi="Arial" w:cs="Arial"/>
                <w:b/>
                <w:bCs/>
                <w:sz w:val="20"/>
                <w:szCs w:val="20"/>
                <w:lang w:eastAsia="en-GB"/>
              </w:rPr>
            </w:pPr>
            <w:r>
              <w:rPr>
                <w:rFonts w:ascii="Arial" w:hAnsi="Arial" w:cs="Arial"/>
                <w:b/>
                <w:bCs/>
                <w:sz w:val="20"/>
                <w:szCs w:val="20"/>
              </w:rPr>
              <w:t>0.0%</w:t>
            </w:r>
          </w:p>
        </w:tc>
      </w:tr>
      <w:tr w:rsidR="008A64EE" w:rsidRPr="0053773A" w14:paraId="42C12051" w14:textId="77777777" w:rsidTr="006F34AC">
        <w:trPr>
          <w:trHeight w:val="255"/>
        </w:trPr>
        <w:tc>
          <w:tcPr>
            <w:tcW w:w="3539" w:type="dxa"/>
            <w:shd w:val="clear" w:color="auto" w:fill="auto"/>
            <w:noWrap/>
            <w:vAlign w:val="bottom"/>
            <w:hideMark/>
          </w:tcPr>
          <w:p w14:paraId="05EBFB34" w14:textId="10CF01F2" w:rsidR="008A64EE" w:rsidRPr="0053773A" w:rsidRDefault="008A64EE" w:rsidP="008A64EE">
            <w:pPr>
              <w:spacing w:after="0" w:line="240" w:lineRule="auto"/>
              <w:rPr>
                <w:rFonts w:ascii="Arial" w:eastAsia="Times New Roman" w:hAnsi="Arial" w:cs="Arial"/>
                <w:sz w:val="20"/>
                <w:szCs w:val="20"/>
                <w:lang w:eastAsia="en-GB"/>
              </w:rPr>
            </w:pPr>
            <w:r>
              <w:rPr>
                <w:rFonts w:ascii="Arial" w:hAnsi="Arial" w:cs="Arial"/>
                <w:sz w:val="20"/>
                <w:szCs w:val="20"/>
              </w:rPr>
              <w:t>WALES</w:t>
            </w:r>
          </w:p>
        </w:tc>
        <w:tc>
          <w:tcPr>
            <w:tcW w:w="1701" w:type="dxa"/>
            <w:shd w:val="clear" w:color="auto" w:fill="auto"/>
            <w:noWrap/>
            <w:vAlign w:val="bottom"/>
            <w:hideMark/>
          </w:tcPr>
          <w:p w14:paraId="4910BFCC" w14:textId="08FC0DAA"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18.4%</w:t>
            </w:r>
          </w:p>
        </w:tc>
        <w:tc>
          <w:tcPr>
            <w:tcW w:w="1559" w:type="dxa"/>
            <w:shd w:val="clear" w:color="auto" w:fill="auto"/>
            <w:noWrap/>
            <w:vAlign w:val="bottom"/>
            <w:hideMark/>
          </w:tcPr>
          <w:p w14:paraId="229AE102" w14:textId="7801EA66"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18.1%</w:t>
            </w:r>
          </w:p>
        </w:tc>
        <w:tc>
          <w:tcPr>
            <w:tcW w:w="2268" w:type="dxa"/>
            <w:shd w:val="clear" w:color="auto" w:fill="auto"/>
            <w:noWrap/>
            <w:vAlign w:val="bottom"/>
            <w:hideMark/>
          </w:tcPr>
          <w:p w14:paraId="2AB6D2C9" w14:textId="5EE94692" w:rsidR="008A64EE" w:rsidRPr="0053773A" w:rsidRDefault="008A64EE" w:rsidP="008A64EE">
            <w:pPr>
              <w:spacing w:after="0" w:line="240" w:lineRule="auto"/>
              <w:jc w:val="center"/>
              <w:rPr>
                <w:rFonts w:ascii="Arial" w:eastAsia="Times New Roman" w:hAnsi="Arial" w:cs="Arial"/>
                <w:b/>
                <w:bCs/>
                <w:sz w:val="20"/>
                <w:szCs w:val="20"/>
                <w:lang w:eastAsia="en-GB"/>
              </w:rPr>
            </w:pPr>
            <w:r>
              <w:rPr>
                <w:rFonts w:ascii="Arial" w:hAnsi="Arial" w:cs="Arial"/>
                <w:b/>
                <w:bCs/>
                <w:sz w:val="20"/>
                <w:szCs w:val="20"/>
              </w:rPr>
              <w:t>-0.2%</w:t>
            </w:r>
          </w:p>
        </w:tc>
      </w:tr>
      <w:tr w:rsidR="008A64EE" w:rsidRPr="0053773A" w14:paraId="04C1EED0" w14:textId="77777777" w:rsidTr="006F34AC">
        <w:trPr>
          <w:trHeight w:val="255"/>
        </w:trPr>
        <w:tc>
          <w:tcPr>
            <w:tcW w:w="3539" w:type="dxa"/>
            <w:shd w:val="clear" w:color="auto" w:fill="auto"/>
            <w:noWrap/>
            <w:vAlign w:val="bottom"/>
            <w:hideMark/>
          </w:tcPr>
          <w:p w14:paraId="06019F38" w14:textId="163851AC" w:rsidR="008A64EE" w:rsidRPr="0053773A" w:rsidRDefault="008A64EE" w:rsidP="008A64EE">
            <w:pPr>
              <w:spacing w:after="0" w:line="240" w:lineRule="auto"/>
              <w:rPr>
                <w:rFonts w:ascii="Arial" w:eastAsia="Times New Roman" w:hAnsi="Arial" w:cs="Arial"/>
                <w:sz w:val="20"/>
                <w:szCs w:val="20"/>
                <w:lang w:eastAsia="en-GB"/>
              </w:rPr>
            </w:pPr>
            <w:r>
              <w:rPr>
                <w:rFonts w:ascii="Arial" w:hAnsi="Arial" w:cs="Arial"/>
                <w:sz w:val="20"/>
                <w:szCs w:val="20"/>
              </w:rPr>
              <w:t>SOUTH WEST</w:t>
            </w:r>
          </w:p>
        </w:tc>
        <w:tc>
          <w:tcPr>
            <w:tcW w:w="1701" w:type="dxa"/>
            <w:shd w:val="clear" w:color="auto" w:fill="auto"/>
            <w:noWrap/>
            <w:vAlign w:val="bottom"/>
            <w:hideMark/>
          </w:tcPr>
          <w:p w14:paraId="0745C804" w14:textId="24512F97"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15.0%</w:t>
            </w:r>
          </w:p>
        </w:tc>
        <w:tc>
          <w:tcPr>
            <w:tcW w:w="1559" w:type="dxa"/>
            <w:shd w:val="clear" w:color="auto" w:fill="auto"/>
            <w:noWrap/>
            <w:vAlign w:val="bottom"/>
            <w:hideMark/>
          </w:tcPr>
          <w:p w14:paraId="1B16FC6D" w14:textId="3E89837E" w:rsidR="008A64EE" w:rsidRPr="0053773A" w:rsidRDefault="008A64EE" w:rsidP="008A64EE">
            <w:pPr>
              <w:spacing w:after="0" w:line="240" w:lineRule="auto"/>
              <w:jc w:val="right"/>
              <w:rPr>
                <w:rFonts w:ascii="Arial" w:eastAsia="Times New Roman" w:hAnsi="Arial" w:cs="Arial"/>
                <w:sz w:val="20"/>
                <w:szCs w:val="20"/>
                <w:lang w:eastAsia="en-GB"/>
              </w:rPr>
            </w:pPr>
            <w:r>
              <w:rPr>
                <w:rFonts w:ascii="Arial" w:hAnsi="Arial" w:cs="Arial"/>
                <w:sz w:val="20"/>
                <w:szCs w:val="20"/>
              </w:rPr>
              <w:t>13.5%</w:t>
            </w:r>
          </w:p>
        </w:tc>
        <w:tc>
          <w:tcPr>
            <w:tcW w:w="2268" w:type="dxa"/>
            <w:shd w:val="clear" w:color="auto" w:fill="auto"/>
            <w:noWrap/>
            <w:vAlign w:val="bottom"/>
            <w:hideMark/>
          </w:tcPr>
          <w:p w14:paraId="5BDE9333" w14:textId="089A9D05" w:rsidR="008A64EE" w:rsidRPr="0053773A" w:rsidRDefault="008A64EE" w:rsidP="008A64EE">
            <w:pPr>
              <w:spacing w:after="0" w:line="240" w:lineRule="auto"/>
              <w:jc w:val="center"/>
              <w:rPr>
                <w:rFonts w:ascii="Arial" w:eastAsia="Times New Roman" w:hAnsi="Arial" w:cs="Arial"/>
                <w:b/>
                <w:bCs/>
                <w:sz w:val="20"/>
                <w:szCs w:val="20"/>
                <w:lang w:eastAsia="en-GB"/>
              </w:rPr>
            </w:pPr>
            <w:r>
              <w:rPr>
                <w:rFonts w:ascii="Arial" w:hAnsi="Arial" w:cs="Arial"/>
                <w:b/>
                <w:bCs/>
                <w:sz w:val="20"/>
                <w:szCs w:val="20"/>
              </w:rPr>
              <w:t>-1.6%</w:t>
            </w:r>
          </w:p>
        </w:tc>
      </w:tr>
    </w:tbl>
    <w:p w14:paraId="5471D171" w14:textId="77777777" w:rsidR="0007729A" w:rsidRDefault="0007729A">
      <w:pPr>
        <w:rPr>
          <w:sz w:val="24"/>
          <w:szCs w:val="24"/>
        </w:rPr>
      </w:pPr>
    </w:p>
    <w:p w14:paraId="715C1DA9" w14:textId="54E79CA9" w:rsidR="00C03FE2" w:rsidRDefault="00BB7D15">
      <w:pPr>
        <w:rPr>
          <w:sz w:val="24"/>
          <w:szCs w:val="24"/>
        </w:rPr>
      </w:pPr>
      <w:hyperlink r:id="rId14" w:history="1">
        <w:r w:rsidR="00C03FE2" w:rsidRPr="006F65F4">
          <w:rPr>
            <w:rStyle w:val="Hyperlink"/>
            <w:sz w:val="24"/>
            <w:szCs w:val="24"/>
          </w:rPr>
          <w:t>Regional tables</w:t>
        </w:r>
      </w:hyperlink>
      <w:r w:rsidR="00C03FE2" w:rsidRPr="006F65F4">
        <w:rPr>
          <w:sz w:val="24"/>
          <w:szCs w:val="24"/>
        </w:rPr>
        <w:t xml:space="preserve"> </w:t>
      </w:r>
      <w:r w:rsidR="005D1E6C" w:rsidRPr="006F65F4">
        <w:rPr>
          <w:sz w:val="24"/>
          <w:szCs w:val="24"/>
        </w:rPr>
        <w:t>show</w:t>
      </w:r>
      <w:r w:rsidR="005D1E6C" w:rsidRPr="00263C66">
        <w:rPr>
          <w:sz w:val="24"/>
          <w:szCs w:val="24"/>
        </w:rPr>
        <w:t xml:space="preserve"> </w:t>
      </w:r>
      <w:r w:rsidR="00B7470E" w:rsidRPr="00263C66">
        <w:rPr>
          <w:sz w:val="24"/>
          <w:szCs w:val="24"/>
        </w:rPr>
        <w:t xml:space="preserve">a breakdown of </w:t>
      </w:r>
      <w:r w:rsidR="00BD7D02" w:rsidRPr="00263C66">
        <w:rPr>
          <w:sz w:val="24"/>
          <w:szCs w:val="24"/>
        </w:rPr>
        <w:t xml:space="preserve">local authorities within each region according to how much child poverty has changed. </w:t>
      </w:r>
      <w:r w:rsidR="00C559F0" w:rsidRPr="00263C66">
        <w:rPr>
          <w:sz w:val="24"/>
          <w:szCs w:val="24"/>
        </w:rPr>
        <w:t>This demonstrates how in some regions</w:t>
      </w:r>
      <w:r w:rsidR="001B1B5E" w:rsidRPr="00263C66">
        <w:rPr>
          <w:sz w:val="24"/>
          <w:szCs w:val="24"/>
        </w:rPr>
        <w:t>,</w:t>
      </w:r>
      <w:r w:rsidR="00C559F0" w:rsidRPr="00263C66">
        <w:rPr>
          <w:sz w:val="24"/>
          <w:szCs w:val="24"/>
        </w:rPr>
        <w:t xml:space="preserve"> a more rapid increase in child poverty is the norm </w:t>
      </w:r>
      <w:r w:rsidR="00BF1582" w:rsidRPr="00263C66">
        <w:rPr>
          <w:sz w:val="24"/>
          <w:szCs w:val="24"/>
        </w:rPr>
        <w:t xml:space="preserve">across most local authorities, </w:t>
      </w:r>
      <w:r w:rsidR="00E40271" w:rsidRPr="00263C66">
        <w:rPr>
          <w:sz w:val="24"/>
          <w:szCs w:val="24"/>
        </w:rPr>
        <w:t xml:space="preserve">while in others, none have increased </w:t>
      </w:r>
      <w:r w:rsidR="008736D2" w:rsidRPr="00263C66">
        <w:rPr>
          <w:sz w:val="24"/>
          <w:szCs w:val="24"/>
        </w:rPr>
        <w:t xml:space="preserve">substantially. However, </w:t>
      </w:r>
      <w:r w:rsidR="00BF1582" w:rsidRPr="00263C66">
        <w:rPr>
          <w:sz w:val="24"/>
          <w:szCs w:val="24"/>
        </w:rPr>
        <w:t>the ex</w:t>
      </w:r>
      <w:r w:rsidR="006240FD" w:rsidRPr="00263C66">
        <w:rPr>
          <w:sz w:val="24"/>
          <w:szCs w:val="24"/>
        </w:rPr>
        <w:t xml:space="preserve">tent of this </w:t>
      </w:r>
      <w:r w:rsidR="001B1B5E" w:rsidRPr="00263C66">
        <w:rPr>
          <w:sz w:val="24"/>
          <w:szCs w:val="24"/>
        </w:rPr>
        <w:t>clustering of results</w:t>
      </w:r>
      <w:r w:rsidR="008736D2" w:rsidRPr="00263C66">
        <w:rPr>
          <w:sz w:val="24"/>
          <w:szCs w:val="24"/>
        </w:rPr>
        <w:t xml:space="preserve"> by region</w:t>
      </w:r>
      <w:r w:rsidR="001B1B5E" w:rsidRPr="00263C66">
        <w:rPr>
          <w:sz w:val="24"/>
          <w:szCs w:val="24"/>
        </w:rPr>
        <w:t xml:space="preserve"> </w:t>
      </w:r>
      <w:r w:rsidR="006240FD" w:rsidRPr="00263C66">
        <w:rPr>
          <w:sz w:val="24"/>
          <w:szCs w:val="24"/>
        </w:rPr>
        <w:t xml:space="preserve">may have been somewhat exaggerated by the </w:t>
      </w:r>
      <w:r w:rsidR="002A4073" w:rsidRPr="00263C66">
        <w:rPr>
          <w:sz w:val="24"/>
          <w:szCs w:val="24"/>
        </w:rPr>
        <w:t>methodology, which calibrates</w:t>
      </w:r>
      <w:r w:rsidR="006240FD" w:rsidRPr="00263C66">
        <w:rPr>
          <w:sz w:val="24"/>
          <w:szCs w:val="24"/>
        </w:rPr>
        <w:t xml:space="preserve"> results against regional averages, </w:t>
      </w:r>
      <w:r w:rsidR="002A4073" w:rsidRPr="00263C66">
        <w:rPr>
          <w:sz w:val="24"/>
          <w:szCs w:val="24"/>
        </w:rPr>
        <w:t>so th</w:t>
      </w:r>
      <w:r w:rsidR="006B2A81" w:rsidRPr="00263C66">
        <w:rPr>
          <w:sz w:val="24"/>
          <w:szCs w:val="24"/>
        </w:rPr>
        <w:t xml:space="preserve">ese rates of increase </w:t>
      </w:r>
      <w:r w:rsidR="00ED301C" w:rsidRPr="00263C66">
        <w:rPr>
          <w:sz w:val="24"/>
          <w:szCs w:val="24"/>
        </w:rPr>
        <w:t xml:space="preserve">are best described </w:t>
      </w:r>
      <w:r w:rsidR="006B2A81" w:rsidRPr="00263C66">
        <w:rPr>
          <w:sz w:val="24"/>
          <w:szCs w:val="24"/>
        </w:rPr>
        <w:t xml:space="preserve">as estimates rather than precise </w:t>
      </w:r>
      <w:r w:rsidR="00ED301C" w:rsidRPr="00263C66">
        <w:rPr>
          <w:sz w:val="24"/>
          <w:szCs w:val="24"/>
        </w:rPr>
        <w:t>calculations.</w:t>
      </w:r>
    </w:p>
    <w:p w14:paraId="243434C0" w14:textId="0ADEA4DA" w:rsidR="008C7B78" w:rsidRDefault="008C7B78">
      <w:r w:rsidRPr="00165B05">
        <w:rPr>
          <w:sz w:val="24"/>
          <w:szCs w:val="24"/>
        </w:rPr>
        <w:t>A further significant aspect of the change in child poverty in recent years has been the increasing proportion of those affected with at least one parent in work.</w:t>
      </w:r>
      <w:r w:rsidR="000A189A">
        <w:rPr>
          <w:sz w:val="24"/>
          <w:szCs w:val="24"/>
        </w:rPr>
        <w:t xml:space="preserve"> </w:t>
      </w:r>
      <w:r w:rsidRPr="00165B05">
        <w:rPr>
          <w:sz w:val="24"/>
          <w:szCs w:val="24"/>
        </w:rPr>
        <w:t xml:space="preserve"> Two thirds were in this situation in 2018/19, an increase of four percentage points over the previous four years. </w:t>
      </w:r>
      <w:r w:rsidR="00A87DEB">
        <w:rPr>
          <w:sz w:val="24"/>
          <w:szCs w:val="24"/>
        </w:rPr>
        <w:t xml:space="preserve"> </w:t>
      </w:r>
      <w:r w:rsidRPr="00165B05">
        <w:rPr>
          <w:sz w:val="24"/>
          <w:szCs w:val="24"/>
        </w:rPr>
        <w:t xml:space="preserve">As shown in </w:t>
      </w:r>
      <w:hyperlink r:id="rId15" w:history="1">
        <w:r w:rsidRPr="00F47171">
          <w:rPr>
            <w:rStyle w:val="Hyperlink"/>
            <w:sz w:val="24"/>
            <w:szCs w:val="24"/>
          </w:rPr>
          <w:t>Data Table 3</w:t>
        </w:r>
      </w:hyperlink>
      <w:r w:rsidRPr="00165B05">
        <w:rPr>
          <w:sz w:val="24"/>
          <w:szCs w:val="24"/>
        </w:rPr>
        <w:t xml:space="preserve">, in some parts of the country this is as high as 80%. </w:t>
      </w:r>
      <w:r w:rsidR="000A189A">
        <w:rPr>
          <w:sz w:val="24"/>
          <w:szCs w:val="24"/>
        </w:rPr>
        <w:t xml:space="preserve"> </w:t>
      </w:r>
      <w:r w:rsidRPr="00165B05">
        <w:rPr>
          <w:sz w:val="24"/>
          <w:szCs w:val="24"/>
        </w:rPr>
        <w:t xml:space="preserve">The table also shows where the increase in this phenomenon has been greatest – </w:t>
      </w:r>
      <w:proofErr w:type="gramStart"/>
      <w:r w:rsidRPr="00165B05">
        <w:rPr>
          <w:sz w:val="24"/>
          <w:szCs w:val="24"/>
        </w:rPr>
        <w:t>in particular in</w:t>
      </w:r>
      <w:proofErr w:type="gramEnd"/>
      <w:r w:rsidRPr="00165B05">
        <w:rPr>
          <w:sz w:val="24"/>
          <w:szCs w:val="24"/>
        </w:rPr>
        <w:t xml:space="preserve"> London, where many people are working in insecure or variable hour jobs. </w:t>
      </w:r>
      <w:r w:rsidR="000A189A">
        <w:rPr>
          <w:sz w:val="24"/>
          <w:szCs w:val="24"/>
        </w:rPr>
        <w:t xml:space="preserve"> </w:t>
      </w:r>
      <w:r w:rsidRPr="00165B05">
        <w:rPr>
          <w:sz w:val="24"/>
          <w:szCs w:val="24"/>
        </w:rPr>
        <w:t xml:space="preserve">Strikingly, Table </w:t>
      </w:r>
      <w:r w:rsidR="00263C66">
        <w:rPr>
          <w:sz w:val="24"/>
          <w:szCs w:val="24"/>
        </w:rPr>
        <w:t>C</w:t>
      </w:r>
      <w:r w:rsidRPr="00165B05">
        <w:rPr>
          <w:sz w:val="24"/>
          <w:szCs w:val="24"/>
        </w:rPr>
        <w:t xml:space="preserve"> below shows that almost </w:t>
      </w:r>
      <w:proofErr w:type="gramStart"/>
      <w:r w:rsidRPr="00165B05">
        <w:rPr>
          <w:sz w:val="24"/>
          <w:szCs w:val="24"/>
        </w:rPr>
        <w:t>all of</w:t>
      </w:r>
      <w:proofErr w:type="gramEnd"/>
      <w:r w:rsidRPr="00165B05">
        <w:rPr>
          <w:sz w:val="24"/>
          <w:szCs w:val="24"/>
        </w:rPr>
        <w:t xml:space="preserve"> the largest increases in this percentage have been in London constituencies.</w:t>
      </w:r>
      <w:r w:rsidR="000A189A">
        <w:rPr>
          <w:sz w:val="24"/>
          <w:szCs w:val="24"/>
        </w:rPr>
        <w:t xml:space="preserve">  </w:t>
      </w:r>
    </w:p>
    <w:p w14:paraId="671E89A4" w14:textId="1E5D4124" w:rsidR="000A5C69" w:rsidRDefault="003E69C4" w:rsidP="00165B05">
      <w:pPr>
        <w:spacing w:after="0" w:line="240" w:lineRule="auto"/>
        <w:ind w:left="1440" w:hanging="1440"/>
        <w:rPr>
          <w:rFonts w:cstheme="minorHAnsi"/>
          <w:b/>
          <w:bCs/>
          <w:sz w:val="24"/>
          <w:szCs w:val="24"/>
        </w:rPr>
      </w:pPr>
      <w:r w:rsidRPr="00165B05">
        <w:rPr>
          <w:rFonts w:cstheme="minorHAnsi"/>
          <w:b/>
          <w:bCs/>
          <w:sz w:val="24"/>
          <w:szCs w:val="24"/>
        </w:rPr>
        <w:t xml:space="preserve">Table </w:t>
      </w:r>
      <w:r w:rsidR="0053773A">
        <w:rPr>
          <w:rFonts w:cstheme="minorHAnsi"/>
          <w:b/>
          <w:bCs/>
          <w:sz w:val="24"/>
          <w:szCs w:val="24"/>
        </w:rPr>
        <w:t>C</w:t>
      </w:r>
      <w:r w:rsidR="00165B05">
        <w:rPr>
          <w:rFonts w:cstheme="minorHAnsi"/>
          <w:b/>
          <w:bCs/>
          <w:sz w:val="24"/>
          <w:szCs w:val="24"/>
        </w:rPr>
        <w:tab/>
        <w:t>T</w:t>
      </w:r>
      <w:r w:rsidR="006F2D78" w:rsidRPr="00165B05">
        <w:rPr>
          <w:rFonts w:cstheme="minorHAnsi"/>
          <w:b/>
          <w:bCs/>
          <w:sz w:val="24"/>
          <w:szCs w:val="24"/>
        </w:rPr>
        <w:t xml:space="preserve">he top 20 constituencies by increase in the </w:t>
      </w:r>
      <w:r w:rsidRPr="00165B05">
        <w:rPr>
          <w:rFonts w:cstheme="minorHAnsi"/>
          <w:b/>
          <w:bCs/>
          <w:sz w:val="24"/>
          <w:szCs w:val="24"/>
        </w:rPr>
        <w:t xml:space="preserve">% of </w:t>
      </w:r>
      <w:r w:rsidR="000A5C69" w:rsidRPr="00165B05">
        <w:rPr>
          <w:rFonts w:cstheme="minorHAnsi"/>
          <w:b/>
          <w:bCs/>
          <w:sz w:val="24"/>
          <w:szCs w:val="24"/>
        </w:rPr>
        <w:t>children in poverty with at least one parent working</w:t>
      </w:r>
      <w:r w:rsidR="006F2D78" w:rsidRPr="00165B05">
        <w:rPr>
          <w:rFonts w:cstheme="minorHAnsi"/>
          <w:b/>
          <w:bCs/>
          <w:sz w:val="24"/>
          <w:szCs w:val="24"/>
        </w:rPr>
        <w:t>, 2014/15-2018/19</w:t>
      </w:r>
    </w:p>
    <w:p w14:paraId="09989BFC" w14:textId="77777777" w:rsidR="00165B05" w:rsidRPr="00165B05" w:rsidRDefault="00165B05" w:rsidP="00165B05">
      <w:pPr>
        <w:spacing w:after="0" w:line="240" w:lineRule="auto"/>
        <w:rPr>
          <w:rFonts w:cstheme="minorHAnsi"/>
          <w:b/>
          <w:bCs/>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01"/>
        <w:gridCol w:w="1559"/>
        <w:gridCol w:w="2410"/>
      </w:tblGrid>
      <w:tr w:rsidR="003E69C4" w:rsidRPr="00165B05" w14:paraId="7E333CC4" w14:textId="77777777" w:rsidTr="008A64EE">
        <w:trPr>
          <w:trHeight w:val="319"/>
        </w:trPr>
        <w:tc>
          <w:tcPr>
            <w:tcW w:w="3256" w:type="dxa"/>
            <w:shd w:val="clear" w:color="auto" w:fill="B4C6E7" w:themeFill="accent1" w:themeFillTint="66"/>
            <w:vAlign w:val="bottom"/>
            <w:hideMark/>
          </w:tcPr>
          <w:p w14:paraId="10B79A1B" w14:textId="1993442E" w:rsidR="003E69C4" w:rsidRPr="00165B05" w:rsidRDefault="003E69C4" w:rsidP="003E69C4">
            <w:pPr>
              <w:spacing w:after="0" w:line="240" w:lineRule="auto"/>
              <w:rPr>
                <w:rFonts w:eastAsia="Times New Roman" w:cstheme="minorHAnsi"/>
                <w:b/>
                <w:bCs/>
                <w:sz w:val="24"/>
                <w:szCs w:val="24"/>
                <w:lang w:eastAsia="en-GB"/>
              </w:rPr>
            </w:pPr>
          </w:p>
        </w:tc>
        <w:tc>
          <w:tcPr>
            <w:tcW w:w="5670" w:type="dxa"/>
            <w:gridSpan w:val="3"/>
            <w:shd w:val="clear" w:color="auto" w:fill="B4C6E7" w:themeFill="accent1" w:themeFillTint="66"/>
            <w:noWrap/>
            <w:vAlign w:val="bottom"/>
            <w:hideMark/>
          </w:tcPr>
          <w:p w14:paraId="6E9FA96A" w14:textId="43AD0693" w:rsidR="003E69C4" w:rsidRPr="00165B05" w:rsidRDefault="003E69C4" w:rsidP="00165B05">
            <w:pPr>
              <w:spacing w:after="0" w:line="240" w:lineRule="auto"/>
              <w:jc w:val="center"/>
              <w:rPr>
                <w:rFonts w:eastAsia="Times New Roman" w:cstheme="minorHAnsi"/>
                <w:b/>
                <w:bCs/>
                <w:sz w:val="24"/>
                <w:szCs w:val="24"/>
                <w:lang w:eastAsia="en-GB"/>
              </w:rPr>
            </w:pPr>
            <w:r w:rsidRPr="00165B05">
              <w:rPr>
                <w:rFonts w:eastAsia="Times New Roman" w:cstheme="minorHAnsi"/>
                <w:b/>
                <w:bCs/>
                <w:sz w:val="24"/>
                <w:szCs w:val="24"/>
                <w:lang w:eastAsia="en-GB"/>
              </w:rPr>
              <w:t>%</w:t>
            </w:r>
            <w:r w:rsidR="008A64EE">
              <w:rPr>
                <w:rFonts w:eastAsia="Times New Roman" w:cstheme="minorHAnsi"/>
                <w:b/>
                <w:bCs/>
                <w:sz w:val="24"/>
                <w:szCs w:val="24"/>
                <w:lang w:eastAsia="en-GB"/>
              </w:rPr>
              <w:t xml:space="preserve"> of children in poverty who </w:t>
            </w:r>
            <w:proofErr w:type="gramStart"/>
            <w:r w:rsidR="008A64EE">
              <w:rPr>
                <w:rFonts w:eastAsia="Times New Roman" w:cstheme="minorHAnsi"/>
                <w:b/>
                <w:bCs/>
                <w:sz w:val="24"/>
                <w:szCs w:val="24"/>
                <w:lang w:eastAsia="en-GB"/>
              </w:rPr>
              <w:t xml:space="preserve">are </w:t>
            </w:r>
            <w:r w:rsidRPr="00165B05">
              <w:rPr>
                <w:rFonts w:eastAsia="Times New Roman" w:cstheme="minorHAnsi"/>
                <w:b/>
                <w:bCs/>
                <w:sz w:val="24"/>
                <w:szCs w:val="24"/>
                <w:lang w:eastAsia="en-GB"/>
              </w:rPr>
              <w:t xml:space="preserve"> in</w:t>
            </w:r>
            <w:proofErr w:type="gramEnd"/>
            <w:r w:rsidRPr="00165B05">
              <w:rPr>
                <w:rFonts w:eastAsia="Times New Roman" w:cstheme="minorHAnsi"/>
                <w:b/>
                <w:bCs/>
                <w:sz w:val="24"/>
                <w:szCs w:val="24"/>
                <w:lang w:eastAsia="en-GB"/>
              </w:rPr>
              <w:t xml:space="preserve"> working families</w:t>
            </w:r>
          </w:p>
        </w:tc>
      </w:tr>
      <w:tr w:rsidR="003E69C4" w:rsidRPr="00165B05" w14:paraId="0ECDFFBB" w14:textId="77777777" w:rsidTr="008A64EE">
        <w:trPr>
          <w:trHeight w:val="255"/>
        </w:trPr>
        <w:tc>
          <w:tcPr>
            <w:tcW w:w="3256" w:type="dxa"/>
            <w:shd w:val="clear" w:color="auto" w:fill="B4C6E7" w:themeFill="accent1" w:themeFillTint="66"/>
            <w:noWrap/>
            <w:vAlign w:val="bottom"/>
            <w:hideMark/>
          </w:tcPr>
          <w:p w14:paraId="0EAF35C0" w14:textId="1A78BDCB" w:rsidR="003E69C4" w:rsidRPr="008A64EE" w:rsidRDefault="008A64EE" w:rsidP="003E69C4">
            <w:pPr>
              <w:spacing w:after="0" w:line="240" w:lineRule="auto"/>
              <w:rPr>
                <w:rFonts w:eastAsia="Times New Roman" w:cstheme="minorHAnsi"/>
                <w:sz w:val="24"/>
                <w:szCs w:val="24"/>
                <w:lang w:eastAsia="en-GB"/>
              </w:rPr>
            </w:pPr>
            <w:r w:rsidRPr="008A64EE">
              <w:rPr>
                <w:rFonts w:eastAsia="Times New Roman" w:cstheme="minorHAnsi"/>
                <w:sz w:val="24"/>
                <w:szCs w:val="24"/>
                <w:lang w:eastAsia="en-GB"/>
              </w:rPr>
              <w:t>Constituency</w:t>
            </w:r>
          </w:p>
        </w:tc>
        <w:tc>
          <w:tcPr>
            <w:tcW w:w="1701" w:type="dxa"/>
            <w:shd w:val="clear" w:color="auto" w:fill="B4C6E7" w:themeFill="accent1" w:themeFillTint="66"/>
            <w:noWrap/>
            <w:vAlign w:val="bottom"/>
            <w:hideMark/>
          </w:tcPr>
          <w:p w14:paraId="72ADB4AE" w14:textId="77777777" w:rsidR="003E69C4" w:rsidRPr="00165B05" w:rsidRDefault="003E69C4" w:rsidP="00165B05">
            <w:pPr>
              <w:spacing w:after="0" w:line="240" w:lineRule="auto"/>
              <w:jc w:val="center"/>
              <w:rPr>
                <w:rFonts w:eastAsia="Times New Roman" w:cstheme="minorHAnsi"/>
                <w:sz w:val="24"/>
                <w:szCs w:val="24"/>
                <w:lang w:eastAsia="en-GB"/>
              </w:rPr>
            </w:pPr>
            <w:r w:rsidRPr="00165B05">
              <w:rPr>
                <w:rFonts w:eastAsia="Times New Roman" w:cstheme="minorHAnsi"/>
                <w:sz w:val="24"/>
                <w:szCs w:val="24"/>
                <w:lang w:eastAsia="en-GB"/>
              </w:rPr>
              <w:t>2014/15</w:t>
            </w:r>
          </w:p>
        </w:tc>
        <w:tc>
          <w:tcPr>
            <w:tcW w:w="1559" w:type="dxa"/>
            <w:shd w:val="clear" w:color="auto" w:fill="B4C6E7" w:themeFill="accent1" w:themeFillTint="66"/>
            <w:noWrap/>
            <w:vAlign w:val="bottom"/>
            <w:hideMark/>
          </w:tcPr>
          <w:p w14:paraId="0CF95E51" w14:textId="77777777" w:rsidR="003E69C4" w:rsidRPr="00165B05" w:rsidRDefault="003E69C4" w:rsidP="00165B05">
            <w:pPr>
              <w:spacing w:after="0" w:line="240" w:lineRule="auto"/>
              <w:jc w:val="center"/>
              <w:rPr>
                <w:rFonts w:eastAsia="Times New Roman" w:cstheme="minorHAnsi"/>
                <w:sz w:val="24"/>
                <w:szCs w:val="24"/>
                <w:lang w:eastAsia="en-GB"/>
              </w:rPr>
            </w:pPr>
            <w:r w:rsidRPr="00165B05">
              <w:rPr>
                <w:rFonts w:eastAsia="Times New Roman" w:cstheme="minorHAnsi"/>
                <w:sz w:val="24"/>
                <w:szCs w:val="24"/>
                <w:lang w:eastAsia="en-GB"/>
              </w:rPr>
              <w:t>2018/19</w:t>
            </w:r>
          </w:p>
        </w:tc>
        <w:tc>
          <w:tcPr>
            <w:tcW w:w="2410" w:type="dxa"/>
            <w:shd w:val="clear" w:color="auto" w:fill="B4C6E7" w:themeFill="accent1" w:themeFillTint="66"/>
            <w:noWrap/>
            <w:vAlign w:val="bottom"/>
            <w:hideMark/>
          </w:tcPr>
          <w:p w14:paraId="55A3FA81" w14:textId="32C6DC5A" w:rsidR="003E69C4" w:rsidRPr="00165B05" w:rsidRDefault="008A64EE" w:rsidP="00165B05">
            <w:pPr>
              <w:spacing w:after="0" w:line="240" w:lineRule="auto"/>
              <w:jc w:val="center"/>
              <w:rPr>
                <w:rFonts w:eastAsia="Times New Roman" w:cstheme="minorHAnsi"/>
                <w:sz w:val="24"/>
                <w:szCs w:val="24"/>
                <w:lang w:eastAsia="en-GB"/>
              </w:rPr>
            </w:pPr>
            <w:r>
              <w:rPr>
                <w:rFonts w:eastAsia="Times New Roman" w:cstheme="minorHAnsi"/>
                <w:sz w:val="24"/>
                <w:szCs w:val="24"/>
                <w:lang w:eastAsia="en-GB"/>
              </w:rPr>
              <w:t>%age point i</w:t>
            </w:r>
            <w:r w:rsidR="003E69C4" w:rsidRPr="00165B05">
              <w:rPr>
                <w:rFonts w:eastAsia="Times New Roman" w:cstheme="minorHAnsi"/>
                <w:sz w:val="24"/>
                <w:szCs w:val="24"/>
                <w:lang w:eastAsia="en-GB"/>
              </w:rPr>
              <w:t>ncrease</w:t>
            </w:r>
          </w:p>
        </w:tc>
      </w:tr>
      <w:tr w:rsidR="003E69C4" w:rsidRPr="00165B05" w14:paraId="5BC045BB" w14:textId="77777777" w:rsidTr="008A64EE">
        <w:trPr>
          <w:trHeight w:val="255"/>
        </w:trPr>
        <w:tc>
          <w:tcPr>
            <w:tcW w:w="3256" w:type="dxa"/>
            <w:shd w:val="clear" w:color="auto" w:fill="auto"/>
            <w:noWrap/>
            <w:vAlign w:val="bottom"/>
            <w:hideMark/>
          </w:tcPr>
          <w:p w14:paraId="0FD86CBF" w14:textId="01F9A8AD" w:rsidR="003E69C4" w:rsidRPr="00165B05" w:rsidRDefault="006C5B15" w:rsidP="003E69C4">
            <w:pPr>
              <w:spacing w:after="0" w:line="240" w:lineRule="auto"/>
              <w:rPr>
                <w:rFonts w:eastAsia="Times New Roman" w:cstheme="minorHAnsi"/>
                <w:b/>
                <w:bCs/>
                <w:sz w:val="24"/>
                <w:szCs w:val="24"/>
                <w:lang w:eastAsia="en-GB"/>
              </w:rPr>
            </w:pPr>
            <w:r w:rsidRPr="00165B05">
              <w:rPr>
                <w:rFonts w:eastAsia="Times New Roman" w:cstheme="minorHAnsi"/>
                <w:b/>
                <w:bCs/>
                <w:sz w:val="24"/>
                <w:szCs w:val="24"/>
                <w:lang w:eastAsia="en-GB"/>
              </w:rPr>
              <w:t>GB</w:t>
            </w:r>
          </w:p>
        </w:tc>
        <w:tc>
          <w:tcPr>
            <w:tcW w:w="1701" w:type="dxa"/>
            <w:shd w:val="clear" w:color="auto" w:fill="auto"/>
            <w:noWrap/>
            <w:vAlign w:val="bottom"/>
            <w:hideMark/>
          </w:tcPr>
          <w:p w14:paraId="7CD09D9F" w14:textId="77777777" w:rsidR="003E69C4" w:rsidRPr="00165B05" w:rsidRDefault="003E69C4" w:rsidP="00165B05">
            <w:pPr>
              <w:tabs>
                <w:tab w:val="decimal" w:pos="758"/>
              </w:tabs>
              <w:spacing w:after="0" w:line="240" w:lineRule="auto"/>
              <w:rPr>
                <w:rFonts w:eastAsia="Times New Roman" w:cstheme="minorHAnsi"/>
                <w:b/>
                <w:bCs/>
                <w:sz w:val="24"/>
                <w:szCs w:val="24"/>
                <w:lang w:eastAsia="en-GB"/>
              </w:rPr>
            </w:pPr>
            <w:r w:rsidRPr="00165B05">
              <w:rPr>
                <w:rFonts w:eastAsia="Times New Roman" w:cstheme="minorHAnsi"/>
                <w:b/>
                <w:bCs/>
                <w:sz w:val="24"/>
                <w:szCs w:val="24"/>
                <w:lang w:eastAsia="en-GB"/>
              </w:rPr>
              <w:t>63.6%</w:t>
            </w:r>
          </w:p>
        </w:tc>
        <w:tc>
          <w:tcPr>
            <w:tcW w:w="1559" w:type="dxa"/>
            <w:shd w:val="clear" w:color="auto" w:fill="auto"/>
            <w:noWrap/>
            <w:vAlign w:val="bottom"/>
            <w:hideMark/>
          </w:tcPr>
          <w:p w14:paraId="6A3BCC7A" w14:textId="77777777" w:rsidR="003E69C4" w:rsidRPr="00165B05" w:rsidRDefault="003E69C4" w:rsidP="00165B05">
            <w:pPr>
              <w:tabs>
                <w:tab w:val="decimal" w:pos="731"/>
              </w:tabs>
              <w:spacing w:after="0" w:line="240" w:lineRule="auto"/>
              <w:rPr>
                <w:rFonts w:eastAsia="Times New Roman" w:cstheme="minorHAnsi"/>
                <w:b/>
                <w:bCs/>
                <w:sz w:val="24"/>
                <w:szCs w:val="24"/>
                <w:lang w:eastAsia="en-GB"/>
              </w:rPr>
            </w:pPr>
            <w:r w:rsidRPr="00165B05">
              <w:rPr>
                <w:rFonts w:eastAsia="Times New Roman" w:cstheme="minorHAnsi"/>
                <w:b/>
                <w:bCs/>
                <w:sz w:val="24"/>
                <w:szCs w:val="24"/>
                <w:lang w:eastAsia="en-GB"/>
              </w:rPr>
              <w:t>67.4%</w:t>
            </w:r>
          </w:p>
        </w:tc>
        <w:tc>
          <w:tcPr>
            <w:tcW w:w="2410" w:type="dxa"/>
            <w:shd w:val="clear" w:color="auto" w:fill="auto"/>
            <w:noWrap/>
            <w:vAlign w:val="bottom"/>
            <w:hideMark/>
          </w:tcPr>
          <w:p w14:paraId="13205DEF" w14:textId="77777777" w:rsidR="003E69C4" w:rsidRPr="00165B05" w:rsidRDefault="003E69C4" w:rsidP="00165B05">
            <w:pPr>
              <w:tabs>
                <w:tab w:val="decimal" w:pos="705"/>
              </w:tabs>
              <w:spacing w:after="0" w:line="240" w:lineRule="auto"/>
              <w:rPr>
                <w:rFonts w:eastAsia="Times New Roman" w:cstheme="minorHAnsi"/>
                <w:b/>
                <w:bCs/>
                <w:sz w:val="24"/>
                <w:szCs w:val="24"/>
                <w:lang w:eastAsia="en-GB"/>
              </w:rPr>
            </w:pPr>
            <w:r w:rsidRPr="00165B05">
              <w:rPr>
                <w:rFonts w:eastAsia="Times New Roman" w:cstheme="minorHAnsi"/>
                <w:b/>
                <w:bCs/>
                <w:sz w:val="24"/>
                <w:szCs w:val="24"/>
                <w:lang w:eastAsia="en-GB"/>
              </w:rPr>
              <w:t>3.8%</w:t>
            </w:r>
          </w:p>
        </w:tc>
      </w:tr>
      <w:tr w:rsidR="003E69C4" w:rsidRPr="00165B05" w14:paraId="0E25ABBE" w14:textId="77777777" w:rsidTr="008A64EE">
        <w:trPr>
          <w:trHeight w:val="255"/>
        </w:trPr>
        <w:tc>
          <w:tcPr>
            <w:tcW w:w="3256" w:type="dxa"/>
            <w:shd w:val="clear" w:color="auto" w:fill="auto"/>
            <w:noWrap/>
            <w:vAlign w:val="bottom"/>
            <w:hideMark/>
          </w:tcPr>
          <w:p w14:paraId="7A4001B4"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Putney</w:t>
            </w:r>
          </w:p>
        </w:tc>
        <w:tc>
          <w:tcPr>
            <w:tcW w:w="1701" w:type="dxa"/>
            <w:shd w:val="clear" w:color="auto" w:fill="auto"/>
            <w:noWrap/>
            <w:vAlign w:val="bottom"/>
            <w:hideMark/>
          </w:tcPr>
          <w:p w14:paraId="048E5061"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60.2%</w:t>
            </w:r>
          </w:p>
        </w:tc>
        <w:tc>
          <w:tcPr>
            <w:tcW w:w="1559" w:type="dxa"/>
            <w:shd w:val="clear" w:color="auto" w:fill="auto"/>
            <w:noWrap/>
            <w:vAlign w:val="bottom"/>
            <w:hideMark/>
          </w:tcPr>
          <w:p w14:paraId="62AE419F"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75.7%</w:t>
            </w:r>
          </w:p>
        </w:tc>
        <w:tc>
          <w:tcPr>
            <w:tcW w:w="2410" w:type="dxa"/>
            <w:shd w:val="clear" w:color="auto" w:fill="auto"/>
            <w:noWrap/>
            <w:vAlign w:val="bottom"/>
            <w:hideMark/>
          </w:tcPr>
          <w:p w14:paraId="52186D4B"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15.5%</w:t>
            </w:r>
          </w:p>
        </w:tc>
      </w:tr>
      <w:tr w:rsidR="003E69C4" w:rsidRPr="00165B05" w14:paraId="0158F8E1" w14:textId="77777777" w:rsidTr="008A64EE">
        <w:trPr>
          <w:trHeight w:val="255"/>
        </w:trPr>
        <w:tc>
          <w:tcPr>
            <w:tcW w:w="3256" w:type="dxa"/>
            <w:shd w:val="clear" w:color="auto" w:fill="auto"/>
            <w:noWrap/>
            <w:vAlign w:val="bottom"/>
            <w:hideMark/>
          </w:tcPr>
          <w:p w14:paraId="563A552A"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Kensington</w:t>
            </w:r>
          </w:p>
        </w:tc>
        <w:tc>
          <w:tcPr>
            <w:tcW w:w="1701" w:type="dxa"/>
            <w:shd w:val="clear" w:color="auto" w:fill="auto"/>
            <w:noWrap/>
            <w:vAlign w:val="bottom"/>
            <w:hideMark/>
          </w:tcPr>
          <w:p w14:paraId="16E20E7E"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53.2%</w:t>
            </w:r>
          </w:p>
        </w:tc>
        <w:tc>
          <w:tcPr>
            <w:tcW w:w="1559" w:type="dxa"/>
            <w:shd w:val="clear" w:color="auto" w:fill="auto"/>
            <w:noWrap/>
            <w:vAlign w:val="bottom"/>
            <w:hideMark/>
          </w:tcPr>
          <w:p w14:paraId="7952B044"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67.3%</w:t>
            </w:r>
          </w:p>
        </w:tc>
        <w:tc>
          <w:tcPr>
            <w:tcW w:w="2410" w:type="dxa"/>
            <w:shd w:val="clear" w:color="auto" w:fill="auto"/>
            <w:noWrap/>
            <w:vAlign w:val="bottom"/>
            <w:hideMark/>
          </w:tcPr>
          <w:p w14:paraId="74411F41"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14.1%</w:t>
            </w:r>
          </w:p>
        </w:tc>
      </w:tr>
      <w:tr w:rsidR="003E69C4" w:rsidRPr="00165B05" w14:paraId="0CC79F21" w14:textId="77777777" w:rsidTr="008A64EE">
        <w:trPr>
          <w:trHeight w:val="255"/>
        </w:trPr>
        <w:tc>
          <w:tcPr>
            <w:tcW w:w="3256" w:type="dxa"/>
            <w:shd w:val="clear" w:color="auto" w:fill="auto"/>
            <w:noWrap/>
            <w:vAlign w:val="bottom"/>
            <w:hideMark/>
          </w:tcPr>
          <w:p w14:paraId="4D507161"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Westminster North</w:t>
            </w:r>
          </w:p>
        </w:tc>
        <w:tc>
          <w:tcPr>
            <w:tcW w:w="1701" w:type="dxa"/>
            <w:shd w:val="clear" w:color="auto" w:fill="auto"/>
            <w:noWrap/>
            <w:vAlign w:val="bottom"/>
            <w:hideMark/>
          </w:tcPr>
          <w:p w14:paraId="221A856F"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54.2%</w:t>
            </w:r>
          </w:p>
        </w:tc>
        <w:tc>
          <w:tcPr>
            <w:tcW w:w="1559" w:type="dxa"/>
            <w:shd w:val="clear" w:color="auto" w:fill="auto"/>
            <w:noWrap/>
            <w:vAlign w:val="bottom"/>
            <w:hideMark/>
          </w:tcPr>
          <w:p w14:paraId="6E7DC78B"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68.2%</w:t>
            </w:r>
          </w:p>
        </w:tc>
        <w:tc>
          <w:tcPr>
            <w:tcW w:w="2410" w:type="dxa"/>
            <w:shd w:val="clear" w:color="auto" w:fill="auto"/>
            <w:noWrap/>
            <w:vAlign w:val="bottom"/>
            <w:hideMark/>
          </w:tcPr>
          <w:p w14:paraId="6A5CFFA0"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14.0%</w:t>
            </w:r>
          </w:p>
        </w:tc>
      </w:tr>
      <w:tr w:rsidR="003E69C4" w:rsidRPr="00165B05" w14:paraId="56609199" w14:textId="77777777" w:rsidTr="008A64EE">
        <w:trPr>
          <w:trHeight w:val="255"/>
        </w:trPr>
        <w:tc>
          <w:tcPr>
            <w:tcW w:w="3256" w:type="dxa"/>
            <w:shd w:val="clear" w:color="auto" w:fill="auto"/>
            <w:noWrap/>
            <w:vAlign w:val="bottom"/>
            <w:hideMark/>
          </w:tcPr>
          <w:p w14:paraId="61306E15"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Islington North</w:t>
            </w:r>
          </w:p>
        </w:tc>
        <w:tc>
          <w:tcPr>
            <w:tcW w:w="1701" w:type="dxa"/>
            <w:shd w:val="clear" w:color="auto" w:fill="auto"/>
            <w:noWrap/>
            <w:vAlign w:val="bottom"/>
            <w:hideMark/>
          </w:tcPr>
          <w:p w14:paraId="19FC0535"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56.5%</w:t>
            </w:r>
          </w:p>
        </w:tc>
        <w:tc>
          <w:tcPr>
            <w:tcW w:w="1559" w:type="dxa"/>
            <w:shd w:val="clear" w:color="auto" w:fill="auto"/>
            <w:noWrap/>
            <w:vAlign w:val="bottom"/>
            <w:hideMark/>
          </w:tcPr>
          <w:p w14:paraId="7460731B"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70.3%</w:t>
            </w:r>
          </w:p>
        </w:tc>
        <w:tc>
          <w:tcPr>
            <w:tcW w:w="2410" w:type="dxa"/>
            <w:shd w:val="clear" w:color="auto" w:fill="auto"/>
            <w:noWrap/>
            <w:vAlign w:val="bottom"/>
            <w:hideMark/>
          </w:tcPr>
          <w:p w14:paraId="332CBD22"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13.8%</w:t>
            </w:r>
          </w:p>
        </w:tc>
      </w:tr>
      <w:tr w:rsidR="003E69C4" w:rsidRPr="00165B05" w14:paraId="7FF02957" w14:textId="77777777" w:rsidTr="008A64EE">
        <w:trPr>
          <w:trHeight w:val="255"/>
        </w:trPr>
        <w:tc>
          <w:tcPr>
            <w:tcW w:w="3256" w:type="dxa"/>
            <w:shd w:val="clear" w:color="auto" w:fill="auto"/>
            <w:noWrap/>
            <w:vAlign w:val="bottom"/>
            <w:hideMark/>
          </w:tcPr>
          <w:p w14:paraId="51BE8907"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Manchester Central</w:t>
            </w:r>
          </w:p>
        </w:tc>
        <w:tc>
          <w:tcPr>
            <w:tcW w:w="1701" w:type="dxa"/>
            <w:shd w:val="clear" w:color="auto" w:fill="auto"/>
            <w:noWrap/>
            <w:vAlign w:val="bottom"/>
            <w:hideMark/>
          </w:tcPr>
          <w:p w14:paraId="159BA158"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50.0%</w:t>
            </w:r>
          </w:p>
        </w:tc>
        <w:tc>
          <w:tcPr>
            <w:tcW w:w="1559" w:type="dxa"/>
            <w:shd w:val="clear" w:color="auto" w:fill="auto"/>
            <w:noWrap/>
            <w:vAlign w:val="bottom"/>
            <w:hideMark/>
          </w:tcPr>
          <w:p w14:paraId="0E89719B"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63.8%</w:t>
            </w:r>
          </w:p>
        </w:tc>
        <w:tc>
          <w:tcPr>
            <w:tcW w:w="2410" w:type="dxa"/>
            <w:shd w:val="clear" w:color="auto" w:fill="auto"/>
            <w:noWrap/>
            <w:vAlign w:val="bottom"/>
            <w:hideMark/>
          </w:tcPr>
          <w:p w14:paraId="49D80978"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13.8%</w:t>
            </w:r>
          </w:p>
        </w:tc>
      </w:tr>
      <w:tr w:rsidR="003E69C4" w:rsidRPr="00165B05" w14:paraId="134A446E" w14:textId="77777777" w:rsidTr="008A64EE">
        <w:trPr>
          <w:trHeight w:val="255"/>
        </w:trPr>
        <w:tc>
          <w:tcPr>
            <w:tcW w:w="3256" w:type="dxa"/>
            <w:shd w:val="clear" w:color="auto" w:fill="auto"/>
            <w:noWrap/>
            <w:vAlign w:val="bottom"/>
            <w:hideMark/>
          </w:tcPr>
          <w:p w14:paraId="3B6EEC43"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Tooting</w:t>
            </w:r>
          </w:p>
        </w:tc>
        <w:tc>
          <w:tcPr>
            <w:tcW w:w="1701" w:type="dxa"/>
            <w:shd w:val="clear" w:color="auto" w:fill="auto"/>
            <w:noWrap/>
            <w:vAlign w:val="bottom"/>
            <w:hideMark/>
          </w:tcPr>
          <w:p w14:paraId="296A9158"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58.6%</w:t>
            </w:r>
          </w:p>
        </w:tc>
        <w:tc>
          <w:tcPr>
            <w:tcW w:w="1559" w:type="dxa"/>
            <w:shd w:val="clear" w:color="auto" w:fill="auto"/>
            <w:noWrap/>
            <w:vAlign w:val="bottom"/>
            <w:hideMark/>
          </w:tcPr>
          <w:p w14:paraId="7856AFFC"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72.1%</w:t>
            </w:r>
          </w:p>
        </w:tc>
        <w:tc>
          <w:tcPr>
            <w:tcW w:w="2410" w:type="dxa"/>
            <w:shd w:val="clear" w:color="auto" w:fill="auto"/>
            <w:noWrap/>
            <w:vAlign w:val="bottom"/>
            <w:hideMark/>
          </w:tcPr>
          <w:p w14:paraId="30AA60A4"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13.6%</w:t>
            </w:r>
          </w:p>
        </w:tc>
      </w:tr>
      <w:tr w:rsidR="003E69C4" w:rsidRPr="00165B05" w14:paraId="23CAD84B" w14:textId="77777777" w:rsidTr="008A64EE">
        <w:trPr>
          <w:trHeight w:val="255"/>
        </w:trPr>
        <w:tc>
          <w:tcPr>
            <w:tcW w:w="3256" w:type="dxa"/>
            <w:shd w:val="clear" w:color="auto" w:fill="auto"/>
            <w:noWrap/>
            <w:vAlign w:val="bottom"/>
            <w:hideMark/>
          </w:tcPr>
          <w:p w14:paraId="232FE310"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Vauxhall</w:t>
            </w:r>
          </w:p>
        </w:tc>
        <w:tc>
          <w:tcPr>
            <w:tcW w:w="1701" w:type="dxa"/>
            <w:shd w:val="clear" w:color="auto" w:fill="auto"/>
            <w:noWrap/>
            <w:vAlign w:val="bottom"/>
            <w:hideMark/>
          </w:tcPr>
          <w:p w14:paraId="7F26B201"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57.2%</w:t>
            </w:r>
          </w:p>
        </w:tc>
        <w:tc>
          <w:tcPr>
            <w:tcW w:w="1559" w:type="dxa"/>
            <w:shd w:val="clear" w:color="auto" w:fill="auto"/>
            <w:noWrap/>
            <w:vAlign w:val="bottom"/>
            <w:hideMark/>
          </w:tcPr>
          <w:p w14:paraId="0A87BE5D"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70.5%</w:t>
            </w:r>
          </w:p>
        </w:tc>
        <w:tc>
          <w:tcPr>
            <w:tcW w:w="2410" w:type="dxa"/>
            <w:shd w:val="clear" w:color="auto" w:fill="auto"/>
            <w:noWrap/>
            <w:vAlign w:val="bottom"/>
            <w:hideMark/>
          </w:tcPr>
          <w:p w14:paraId="149E9BC7"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13.3%</w:t>
            </w:r>
          </w:p>
        </w:tc>
      </w:tr>
      <w:tr w:rsidR="003E69C4" w:rsidRPr="00165B05" w14:paraId="620FE3FC" w14:textId="77777777" w:rsidTr="008A64EE">
        <w:trPr>
          <w:trHeight w:val="255"/>
        </w:trPr>
        <w:tc>
          <w:tcPr>
            <w:tcW w:w="3256" w:type="dxa"/>
            <w:shd w:val="clear" w:color="auto" w:fill="auto"/>
            <w:noWrap/>
            <w:vAlign w:val="bottom"/>
            <w:hideMark/>
          </w:tcPr>
          <w:p w14:paraId="37D87529"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Hackney South and Shoreditch</w:t>
            </w:r>
          </w:p>
        </w:tc>
        <w:tc>
          <w:tcPr>
            <w:tcW w:w="1701" w:type="dxa"/>
            <w:shd w:val="clear" w:color="auto" w:fill="auto"/>
            <w:noWrap/>
            <w:vAlign w:val="bottom"/>
            <w:hideMark/>
          </w:tcPr>
          <w:p w14:paraId="06137D6A"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54.8%</w:t>
            </w:r>
          </w:p>
        </w:tc>
        <w:tc>
          <w:tcPr>
            <w:tcW w:w="1559" w:type="dxa"/>
            <w:shd w:val="clear" w:color="auto" w:fill="auto"/>
            <w:noWrap/>
            <w:vAlign w:val="bottom"/>
            <w:hideMark/>
          </w:tcPr>
          <w:p w14:paraId="34BF04FB"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68.0%</w:t>
            </w:r>
          </w:p>
        </w:tc>
        <w:tc>
          <w:tcPr>
            <w:tcW w:w="2410" w:type="dxa"/>
            <w:shd w:val="clear" w:color="auto" w:fill="auto"/>
            <w:noWrap/>
            <w:vAlign w:val="bottom"/>
            <w:hideMark/>
          </w:tcPr>
          <w:p w14:paraId="1F2ED0E0"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13.3%</w:t>
            </w:r>
          </w:p>
        </w:tc>
      </w:tr>
      <w:tr w:rsidR="003E69C4" w:rsidRPr="00165B05" w14:paraId="6D30E5EC" w14:textId="77777777" w:rsidTr="008A64EE">
        <w:trPr>
          <w:trHeight w:val="255"/>
        </w:trPr>
        <w:tc>
          <w:tcPr>
            <w:tcW w:w="3256" w:type="dxa"/>
            <w:shd w:val="clear" w:color="auto" w:fill="auto"/>
            <w:noWrap/>
            <w:vAlign w:val="bottom"/>
            <w:hideMark/>
          </w:tcPr>
          <w:p w14:paraId="16AA26BF"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lastRenderedPageBreak/>
              <w:t>Battersea</w:t>
            </w:r>
          </w:p>
        </w:tc>
        <w:tc>
          <w:tcPr>
            <w:tcW w:w="1701" w:type="dxa"/>
            <w:shd w:val="clear" w:color="auto" w:fill="auto"/>
            <w:noWrap/>
            <w:vAlign w:val="bottom"/>
            <w:hideMark/>
          </w:tcPr>
          <w:p w14:paraId="189D2BF4"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53.0%</w:t>
            </w:r>
          </w:p>
        </w:tc>
        <w:tc>
          <w:tcPr>
            <w:tcW w:w="1559" w:type="dxa"/>
            <w:shd w:val="clear" w:color="auto" w:fill="auto"/>
            <w:noWrap/>
            <w:vAlign w:val="bottom"/>
            <w:hideMark/>
          </w:tcPr>
          <w:p w14:paraId="60ABFCD1"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66.0%</w:t>
            </w:r>
          </w:p>
        </w:tc>
        <w:tc>
          <w:tcPr>
            <w:tcW w:w="2410" w:type="dxa"/>
            <w:shd w:val="clear" w:color="auto" w:fill="auto"/>
            <w:noWrap/>
            <w:vAlign w:val="bottom"/>
            <w:hideMark/>
          </w:tcPr>
          <w:p w14:paraId="410EBB36"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13.0%</w:t>
            </w:r>
          </w:p>
        </w:tc>
      </w:tr>
      <w:tr w:rsidR="003E69C4" w:rsidRPr="00165B05" w14:paraId="456D11B2" w14:textId="77777777" w:rsidTr="008A64EE">
        <w:trPr>
          <w:trHeight w:val="255"/>
        </w:trPr>
        <w:tc>
          <w:tcPr>
            <w:tcW w:w="3256" w:type="dxa"/>
            <w:shd w:val="clear" w:color="auto" w:fill="auto"/>
            <w:noWrap/>
            <w:vAlign w:val="bottom"/>
            <w:hideMark/>
          </w:tcPr>
          <w:p w14:paraId="07F190BD"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Brent Central</w:t>
            </w:r>
          </w:p>
        </w:tc>
        <w:tc>
          <w:tcPr>
            <w:tcW w:w="1701" w:type="dxa"/>
            <w:shd w:val="clear" w:color="auto" w:fill="auto"/>
            <w:noWrap/>
            <w:vAlign w:val="bottom"/>
            <w:hideMark/>
          </w:tcPr>
          <w:p w14:paraId="594A5BD4"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62.3%</w:t>
            </w:r>
          </w:p>
        </w:tc>
        <w:tc>
          <w:tcPr>
            <w:tcW w:w="1559" w:type="dxa"/>
            <w:shd w:val="clear" w:color="auto" w:fill="auto"/>
            <w:noWrap/>
            <w:vAlign w:val="bottom"/>
            <w:hideMark/>
          </w:tcPr>
          <w:p w14:paraId="14B1C490"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75.0%</w:t>
            </w:r>
          </w:p>
        </w:tc>
        <w:tc>
          <w:tcPr>
            <w:tcW w:w="2410" w:type="dxa"/>
            <w:shd w:val="clear" w:color="auto" w:fill="auto"/>
            <w:noWrap/>
            <w:vAlign w:val="bottom"/>
            <w:hideMark/>
          </w:tcPr>
          <w:p w14:paraId="02CE750C"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12.6%</w:t>
            </w:r>
          </w:p>
        </w:tc>
      </w:tr>
      <w:tr w:rsidR="003E69C4" w:rsidRPr="00165B05" w14:paraId="2DBBDF66" w14:textId="77777777" w:rsidTr="008A64EE">
        <w:trPr>
          <w:trHeight w:val="255"/>
        </w:trPr>
        <w:tc>
          <w:tcPr>
            <w:tcW w:w="3256" w:type="dxa"/>
            <w:shd w:val="clear" w:color="auto" w:fill="auto"/>
            <w:noWrap/>
            <w:vAlign w:val="bottom"/>
            <w:hideMark/>
          </w:tcPr>
          <w:p w14:paraId="044CA652"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Newport East</w:t>
            </w:r>
          </w:p>
        </w:tc>
        <w:tc>
          <w:tcPr>
            <w:tcW w:w="1701" w:type="dxa"/>
            <w:shd w:val="clear" w:color="auto" w:fill="auto"/>
            <w:noWrap/>
            <w:vAlign w:val="bottom"/>
            <w:hideMark/>
          </w:tcPr>
          <w:p w14:paraId="0B955B4E"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55.1%</w:t>
            </w:r>
          </w:p>
        </w:tc>
        <w:tc>
          <w:tcPr>
            <w:tcW w:w="1559" w:type="dxa"/>
            <w:shd w:val="clear" w:color="auto" w:fill="auto"/>
            <w:noWrap/>
            <w:vAlign w:val="bottom"/>
            <w:hideMark/>
          </w:tcPr>
          <w:p w14:paraId="7BDC65B2"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67.5%</w:t>
            </w:r>
          </w:p>
        </w:tc>
        <w:tc>
          <w:tcPr>
            <w:tcW w:w="2410" w:type="dxa"/>
            <w:shd w:val="clear" w:color="auto" w:fill="auto"/>
            <w:noWrap/>
            <w:vAlign w:val="bottom"/>
            <w:hideMark/>
          </w:tcPr>
          <w:p w14:paraId="51365DDE"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12.4%</w:t>
            </w:r>
          </w:p>
        </w:tc>
      </w:tr>
      <w:tr w:rsidR="003E69C4" w:rsidRPr="00165B05" w14:paraId="3B22D5D5" w14:textId="77777777" w:rsidTr="008A64EE">
        <w:trPr>
          <w:trHeight w:val="255"/>
        </w:trPr>
        <w:tc>
          <w:tcPr>
            <w:tcW w:w="3256" w:type="dxa"/>
            <w:shd w:val="clear" w:color="auto" w:fill="auto"/>
            <w:noWrap/>
            <w:vAlign w:val="bottom"/>
            <w:hideMark/>
          </w:tcPr>
          <w:p w14:paraId="1B76060D"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Cities of London and Westminster</w:t>
            </w:r>
          </w:p>
        </w:tc>
        <w:tc>
          <w:tcPr>
            <w:tcW w:w="1701" w:type="dxa"/>
            <w:shd w:val="clear" w:color="auto" w:fill="auto"/>
            <w:noWrap/>
            <w:vAlign w:val="bottom"/>
            <w:hideMark/>
          </w:tcPr>
          <w:p w14:paraId="19D2EAD4"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58.0%</w:t>
            </w:r>
          </w:p>
        </w:tc>
        <w:tc>
          <w:tcPr>
            <w:tcW w:w="1559" w:type="dxa"/>
            <w:shd w:val="clear" w:color="auto" w:fill="auto"/>
            <w:noWrap/>
            <w:vAlign w:val="bottom"/>
            <w:hideMark/>
          </w:tcPr>
          <w:p w14:paraId="4B879324"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70.3%</w:t>
            </w:r>
          </w:p>
        </w:tc>
        <w:tc>
          <w:tcPr>
            <w:tcW w:w="2410" w:type="dxa"/>
            <w:shd w:val="clear" w:color="auto" w:fill="auto"/>
            <w:noWrap/>
            <w:vAlign w:val="bottom"/>
            <w:hideMark/>
          </w:tcPr>
          <w:p w14:paraId="2B24BAE6"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12.3%</w:t>
            </w:r>
          </w:p>
        </w:tc>
      </w:tr>
      <w:tr w:rsidR="003E69C4" w:rsidRPr="00165B05" w14:paraId="3EFF5771" w14:textId="77777777" w:rsidTr="008A64EE">
        <w:trPr>
          <w:trHeight w:val="255"/>
        </w:trPr>
        <w:tc>
          <w:tcPr>
            <w:tcW w:w="3256" w:type="dxa"/>
            <w:shd w:val="clear" w:color="auto" w:fill="auto"/>
            <w:noWrap/>
            <w:vAlign w:val="bottom"/>
            <w:hideMark/>
          </w:tcPr>
          <w:p w14:paraId="427222C5"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Holborn and St Pancras</w:t>
            </w:r>
          </w:p>
        </w:tc>
        <w:tc>
          <w:tcPr>
            <w:tcW w:w="1701" w:type="dxa"/>
            <w:shd w:val="clear" w:color="auto" w:fill="auto"/>
            <w:noWrap/>
            <w:vAlign w:val="bottom"/>
            <w:hideMark/>
          </w:tcPr>
          <w:p w14:paraId="2FACC9F7"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60.4%</w:t>
            </w:r>
          </w:p>
        </w:tc>
        <w:tc>
          <w:tcPr>
            <w:tcW w:w="1559" w:type="dxa"/>
            <w:shd w:val="clear" w:color="auto" w:fill="auto"/>
            <w:noWrap/>
            <w:vAlign w:val="bottom"/>
            <w:hideMark/>
          </w:tcPr>
          <w:p w14:paraId="12CCDFE0"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72.6%</w:t>
            </w:r>
          </w:p>
        </w:tc>
        <w:tc>
          <w:tcPr>
            <w:tcW w:w="2410" w:type="dxa"/>
            <w:shd w:val="clear" w:color="auto" w:fill="auto"/>
            <w:noWrap/>
            <w:vAlign w:val="bottom"/>
            <w:hideMark/>
          </w:tcPr>
          <w:p w14:paraId="58B5515E"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12.1%</w:t>
            </w:r>
          </w:p>
        </w:tc>
      </w:tr>
      <w:tr w:rsidR="003E69C4" w:rsidRPr="00165B05" w14:paraId="3B758027" w14:textId="77777777" w:rsidTr="008A64EE">
        <w:trPr>
          <w:trHeight w:val="255"/>
        </w:trPr>
        <w:tc>
          <w:tcPr>
            <w:tcW w:w="3256" w:type="dxa"/>
            <w:shd w:val="clear" w:color="auto" w:fill="auto"/>
            <w:noWrap/>
            <w:vAlign w:val="bottom"/>
            <w:hideMark/>
          </w:tcPr>
          <w:p w14:paraId="64CA7126"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Hayes and Harlington</w:t>
            </w:r>
          </w:p>
        </w:tc>
        <w:tc>
          <w:tcPr>
            <w:tcW w:w="1701" w:type="dxa"/>
            <w:shd w:val="clear" w:color="auto" w:fill="auto"/>
            <w:noWrap/>
            <w:vAlign w:val="bottom"/>
            <w:hideMark/>
          </w:tcPr>
          <w:p w14:paraId="4563BC9C"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65.7%</w:t>
            </w:r>
          </w:p>
        </w:tc>
        <w:tc>
          <w:tcPr>
            <w:tcW w:w="1559" w:type="dxa"/>
            <w:shd w:val="clear" w:color="auto" w:fill="auto"/>
            <w:noWrap/>
            <w:vAlign w:val="bottom"/>
            <w:hideMark/>
          </w:tcPr>
          <w:p w14:paraId="1E47858A"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77.6%</w:t>
            </w:r>
          </w:p>
        </w:tc>
        <w:tc>
          <w:tcPr>
            <w:tcW w:w="2410" w:type="dxa"/>
            <w:shd w:val="clear" w:color="auto" w:fill="auto"/>
            <w:noWrap/>
            <w:vAlign w:val="bottom"/>
            <w:hideMark/>
          </w:tcPr>
          <w:p w14:paraId="38DAC2F2"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12.0%</w:t>
            </w:r>
          </w:p>
        </w:tc>
      </w:tr>
      <w:tr w:rsidR="003E69C4" w:rsidRPr="00165B05" w14:paraId="5504DB27" w14:textId="77777777" w:rsidTr="008A64EE">
        <w:trPr>
          <w:trHeight w:val="255"/>
        </w:trPr>
        <w:tc>
          <w:tcPr>
            <w:tcW w:w="3256" w:type="dxa"/>
            <w:shd w:val="clear" w:color="auto" w:fill="auto"/>
            <w:noWrap/>
            <w:vAlign w:val="bottom"/>
            <w:hideMark/>
          </w:tcPr>
          <w:p w14:paraId="25C22186"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Poplar and Limehouse</w:t>
            </w:r>
          </w:p>
        </w:tc>
        <w:tc>
          <w:tcPr>
            <w:tcW w:w="1701" w:type="dxa"/>
            <w:shd w:val="clear" w:color="auto" w:fill="auto"/>
            <w:noWrap/>
            <w:vAlign w:val="bottom"/>
            <w:hideMark/>
          </w:tcPr>
          <w:p w14:paraId="238CE4DA"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66.7%</w:t>
            </w:r>
          </w:p>
        </w:tc>
        <w:tc>
          <w:tcPr>
            <w:tcW w:w="1559" w:type="dxa"/>
            <w:shd w:val="clear" w:color="auto" w:fill="auto"/>
            <w:noWrap/>
            <w:vAlign w:val="bottom"/>
            <w:hideMark/>
          </w:tcPr>
          <w:p w14:paraId="6F344A7F"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78.6%</w:t>
            </w:r>
          </w:p>
        </w:tc>
        <w:tc>
          <w:tcPr>
            <w:tcW w:w="2410" w:type="dxa"/>
            <w:shd w:val="clear" w:color="auto" w:fill="auto"/>
            <w:noWrap/>
            <w:vAlign w:val="bottom"/>
            <w:hideMark/>
          </w:tcPr>
          <w:p w14:paraId="441AD908"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12.0%</w:t>
            </w:r>
          </w:p>
        </w:tc>
      </w:tr>
      <w:tr w:rsidR="003E69C4" w:rsidRPr="00165B05" w14:paraId="34543710" w14:textId="77777777" w:rsidTr="008A64EE">
        <w:trPr>
          <w:trHeight w:val="255"/>
        </w:trPr>
        <w:tc>
          <w:tcPr>
            <w:tcW w:w="3256" w:type="dxa"/>
            <w:shd w:val="clear" w:color="auto" w:fill="auto"/>
            <w:noWrap/>
            <w:vAlign w:val="bottom"/>
            <w:hideMark/>
          </w:tcPr>
          <w:p w14:paraId="36583971"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Bexleyheath and Crayford</w:t>
            </w:r>
          </w:p>
        </w:tc>
        <w:tc>
          <w:tcPr>
            <w:tcW w:w="1701" w:type="dxa"/>
            <w:shd w:val="clear" w:color="auto" w:fill="auto"/>
            <w:noWrap/>
            <w:vAlign w:val="bottom"/>
            <w:hideMark/>
          </w:tcPr>
          <w:p w14:paraId="71A06875"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62.1%</w:t>
            </w:r>
          </w:p>
        </w:tc>
        <w:tc>
          <w:tcPr>
            <w:tcW w:w="1559" w:type="dxa"/>
            <w:shd w:val="clear" w:color="auto" w:fill="auto"/>
            <w:noWrap/>
            <w:vAlign w:val="bottom"/>
            <w:hideMark/>
          </w:tcPr>
          <w:p w14:paraId="31D44A7D"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74.0%</w:t>
            </w:r>
          </w:p>
        </w:tc>
        <w:tc>
          <w:tcPr>
            <w:tcW w:w="2410" w:type="dxa"/>
            <w:shd w:val="clear" w:color="auto" w:fill="auto"/>
            <w:noWrap/>
            <w:vAlign w:val="bottom"/>
            <w:hideMark/>
          </w:tcPr>
          <w:p w14:paraId="383A6C29"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11.9%</w:t>
            </w:r>
          </w:p>
        </w:tc>
      </w:tr>
      <w:tr w:rsidR="003E69C4" w:rsidRPr="00165B05" w14:paraId="76B07681" w14:textId="77777777" w:rsidTr="008A64EE">
        <w:trPr>
          <w:trHeight w:val="255"/>
        </w:trPr>
        <w:tc>
          <w:tcPr>
            <w:tcW w:w="3256" w:type="dxa"/>
            <w:shd w:val="clear" w:color="auto" w:fill="auto"/>
            <w:noWrap/>
            <w:vAlign w:val="bottom"/>
            <w:hideMark/>
          </w:tcPr>
          <w:p w14:paraId="1DD1364F"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Hendon</w:t>
            </w:r>
          </w:p>
        </w:tc>
        <w:tc>
          <w:tcPr>
            <w:tcW w:w="1701" w:type="dxa"/>
            <w:shd w:val="clear" w:color="auto" w:fill="auto"/>
            <w:noWrap/>
            <w:vAlign w:val="bottom"/>
            <w:hideMark/>
          </w:tcPr>
          <w:p w14:paraId="7E1D31D6"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69.0%</w:t>
            </w:r>
          </w:p>
        </w:tc>
        <w:tc>
          <w:tcPr>
            <w:tcW w:w="1559" w:type="dxa"/>
            <w:shd w:val="clear" w:color="auto" w:fill="auto"/>
            <w:noWrap/>
            <w:vAlign w:val="bottom"/>
            <w:hideMark/>
          </w:tcPr>
          <w:p w14:paraId="410DE756"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80.8%</w:t>
            </w:r>
          </w:p>
        </w:tc>
        <w:tc>
          <w:tcPr>
            <w:tcW w:w="2410" w:type="dxa"/>
            <w:shd w:val="clear" w:color="auto" w:fill="auto"/>
            <w:noWrap/>
            <w:vAlign w:val="bottom"/>
            <w:hideMark/>
          </w:tcPr>
          <w:p w14:paraId="4D70AD2D"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11.8%</w:t>
            </w:r>
          </w:p>
        </w:tc>
      </w:tr>
      <w:tr w:rsidR="003E69C4" w:rsidRPr="00165B05" w14:paraId="081CDD15" w14:textId="77777777" w:rsidTr="008A64EE">
        <w:trPr>
          <w:trHeight w:val="255"/>
        </w:trPr>
        <w:tc>
          <w:tcPr>
            <w:tcW w:w="3256" w:type="dxa"/>
            <w:shd w:val="clear" w:color="auto" w:fill="auto"/>
            <w:noWrap/>
            <w:vAlign w:val="bottom"/>
            <w:hideMark/>
          </w:tcPr>
          <w:p w14:paraId="6ABF26ED"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Hammersmith</w:t>
            </w:r>
          </w:p>
        </w:tc>
        <w:tc>
          <w:tcPr>
            <w:tcW w:w="1701" w:type="dxa"/>
            <w:shd w:val="clear" w:color="auto" w:fill="auto"/>
            <w:noWrap/>
            <w:vAlign w:val="bottom"/>
            <w:hideMark/>
          </w:tcPr>
          <w:p w14:paraId="424539E0"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58.1%</w:t>
            </w:r>
          </w:p>
        </w:tc>
        <w:tc>
          <w:tcPr>
            <w:tcW w:w="1559" w:type="dxa"/>
            <w:shd w:val="clear" w:color="auto" w:fill="auto"/>
            <w:noWrap/>
            <w:vAlign w:val="bottom"/>
            <w:hideMark/>
          </w:tcPr>
          <w:p w14:paraId="74CA0FCD"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69.8%</w:t>
            </w:r>
          </w:p>
        </w:tc>
        <w:tc>
          <w:tcPr>
            <w:tcW w:w="2410" w:type="dxa"/>
            <w:shd w:val="clear" w:color="auto" w:fill="auto"/>
            <w:noWrap/>
            <w:vAlign w:val="bottom"/>
            <w:hideMark/>
          </w:tcPr>
          <w:p w14:paraId="06CD2BFA"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11.7%</w:t>
            </w:r>
          </w:p>
        </w:tc>
      </w:tr>
      <w:tr w:rsidR="003E69C4" w:rsidRPr="00165B05" w14:paraId="4AF31FAA" w14:textId="77777777" w:rsidTr="008A64EE">
        <w:trPr>
          <w:trHeight w:val="255"/>
        </w:trPr>
        <w:tc>
          <w:tcPr>
            <w:tcW w:w="3256" w:type="dxa"/>
            <w:shd w:val="clear" w:color="auto" w:fill="auto"/>
            <w:noWrap/>
            <w:vAlign w:val="bottom"/>
            <w:hideMark/>
          </w:tcPr>
          <w:p w14:paraId="565A1823"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Aberavon</w:t>
            </w:r>
          </w:p>
        </w:tc>
        <w:tc>
          <w:tcPr>
            <w:tcW w:w="1701" w:type="dxa"/>
            <w:shd w:val="clear" w:color="auto" w:fill="auto"/>
            <w:noWrap/>
            <w:vAlign w:val="bottom"/>
            <w:hideMark/>
          </w:tcPr>
          <w:p w14:paraId="595CE8AE"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46.2%</w:t>
            </w:r>
          </w:p>
        </w:tc>
        <w:tc>
          <w:tcPr>
            <w:tcW w:w="1559" w:type="dxa"/>
            <w:shd w:val="clear" w:color="auto" w:fill="auto"/>
            <w:noWrap/>
            <w:vAlign w:val="bottom"/>
            <w:hideMark/>
          </w:tcPr>
          <w:p w14:paraId="5C573F9D"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57.8%</w:t>
            </w:r>
          </w:p>
        </w:tc>
        <w:tc>
          <w:tcPr>
            <w:tcW w:w="2410" w:type="dxa"/>
            <w:shd w:val="clear" w:color="auto" w:fill="auto"/>
            <w:noWrap/>
            <w:vAlign w:val="bottom"/>
            <w:hideMark/>
          </w:tcPr>
          <w:p w14:paraId="1A30532A"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11.6%</w:t>
            </w:r>
          </w:p>
        </w:tc>
      </w:tr>
      <w:tr w:rsidR="003E69C4" w:rsidRPr="00165B05" w14:paraId="4998C8A1" w14:textId="77777777" w:rsidTr="008A64EE">
        <w:trPr>
          <w:trHeight w:val="255"/>
        </w:trPr>
        <w:tc>
          <w:tcPr>
            <w:tcW w:w="3256" w:type="dxa"/>
            <w:shd w:val="clear" w:color="auto" w:fill="auto"/>
            <w:noWrap/>
            <w:vAlign w:val="bottom"/>
            <w:hideMark/>
          </w:tcPr>
          <w:p w14:paraId="6C129971" w14:textId="77777777" w:rsidR="003E69C4" w:rsidRPr="00165B05" w:rsidRDefault="003E69C4" w:rsidP="003E69C4">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Finchley and Golders Green</w:t>
            </w:r>
          </w:p>
        </w:tc>
        <w:tc>
          <w:tcPr>
            <w:tcW w:w="1701" w:type="dxa"/>
            <w:shd w:val="clear" w:color="auto" w:fill="auto"/>
            <w:noWrap/>
            <w:vAlign w:val="bottom"/>
            <w:hideMark/>
          </w:tcPr>
          <w:p w14:paraId="20957857" w14:textId="77777777" w:rsidR="003E69C4" w:rsidRPr="00165B05" w:rsidRDefault="003E69C4" w:rsidP="00165B05">
            <w:pPr>
              <w:tabs>
                <w:tab w:val="decimal" w:pos="758"/>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65.6%</w:t>
            </w:r>
          </w:p>
        </w:tc>
        <w:tc>
          <w:tcPr>
            <w:tcW w:w="1559" w:type="dxa"/>
            <w:shd w:val="clear" w:color="auto" w:fill="auto"/>
            <w:noWrap/>
            <w:vAlign w:val="bottom"/>
            <w:hideMark/>
          </w:tcPr>
          <w:p w14:paraId="213677DA" w14:textId="77777777" w:rsidR="003E69C4" w:rsidRPr="00165B05" w:rsidRDefault="003E69C4" w:rsidP="00165B05">
            <w:pPr>
              <w:tabs>
                <w:tab w:val="decimal" w:pos="731"/>
              </w:tabs>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77.1%</w:t>
            </w:r>
          </w:p>
        </w:tc>
        <w:tc>
          <w:tcPr>
            <w:tcW w:w="2410" w:type="dxa"/>
            <w:shd w:val="clear" w:color="auto" w:fill="auto"/>
            <w:noWrap/>
            <w:vAlign w:val="bottom"/>
            <w:hideMark/>
          </w:tcPr>
          <w:p w14:paraId="41A09C4B" w14:textId="77777777" w:rsidR="003E69C4" w:rsidRPr="006F34AC" w:rsidRDefault="003E69C4" w:rsidP="00165B05">
            <w:pPr>
              <w:tabs>
                <w:tab w:val="decimal" w:pos="705"/>
              </w:tabs>
              <w:spacing w:after="0" w:line="240" w:lineRule="auto"/>
              <w:rPr>
                <w:rFonts w:eastAsia="Times New Roman" w:cstheme="minorHAnsi"/>
                <w:b/>
                <w:bCs/>
                <w:sz w:val="24"/>
                <w:szCs w:val="24"/>
                <w:lang w:eastAsia="en-GB"/>
              </w:rPr>
            </w:pPr>
            <w:r w:rsidRPr="006F34AC">
              <w:rPr>
                <w:rFonts w:eastAsia="Times New Roman" w:cstheme="minorHAnsi"/>
                <w:b/>
                <w:bCs/>
                <w:sz w:val="24"/>
                <w:szCs w:val="24"/>
                <w:lang w:eastAsia="en-GB"/>
              </w:rPr>
              <w:t>11.5%</w:t>
            </w:r>
          </w:p>
        </w:tc>
      </w:tr>
    </w:tbl>
    <w:p w14:paraId="4926AC31" w14:textId="7CEA0375" w:rsidR="000C25C8" w:rsidRPr="00165B05" w:rsidRDefault="000C25C8" w:rsidP="00165B05">
      <w:pPr>
        <w:spacing w:after="0" w:line="240" w:lineRule="auto"/>
        <w:rPr>
          <w:rFonts w:eastAsia="Times New Roman" w:cstheme="minorHAnsi"/>
          <w:sz w:val="24"/>
          <w:szCs w:val="24"/>
          <w:lang w:eastAsia="en-GB"/>
        </w:rPr>
      </w:pPr>
    </w:p>
    <w:p w14:paraId="3006DBAE" w14:textId="77777777" w:rsidR="006C4B22" w:rsidRPr="00165B05" w:rsidRDefault="008C7B78" w:rsidP="00165B05">
      <w:pPr>
        <w:pStyle w:val="ListParagraph"/>
        <w:numPr>
          <w:ilvl w:val="0"/>
          <w:numId w:val="1"/>
        </w:numPr>
        <w:spacing w:after="0" w:line="240" w:lineRule="auto"/>
        <w:ind w:left="567" w:hanging="567"/>
        <w:rPr>
          <w:rFonts w:eastAsia="Times New Roman" w:cstheme="minorHAnsi"/>
          <w:b/>
          <w:bCs/>
          <w:sz w:val="24"/>
          <w:szCs w:val="24"/>
          <w:lang w:eastAsia="en-GB"/>
        </w:rPr>
      </w:pPr>
      <w:r w:rsidRPr="00165B05">
        <w:rPr>
          <w:rFonts w:eastAsia="Times New Roman" w:cstheme="minorHAnsi"/>
          <w:b/>
          <w:bCs/>
          <w:sz w:val="24"/>
          <w:szCs w:val="24"/>
          <w:lang w:eastAsia="en-GB"/>
        </w:rPr>
        <w:t xml:space="preserve">The </w:t>
      </w:r>
      <w:r w:rsidR="006C4B22" w:rsidRPr="00165B05">
        <w:rPr>
          <w:rFonts w:eastAsia="Times New Roman" w:cstheme="minorHAnsi"/>
          <w:b/>
          <w:bCs/>
          <w:sz w:val="24"/>
          <w:szCs w:val="24"/>
          <w:lang w:eastAsia="en-GB"/>
        </w:rPr>
        <w:t>distribution of child poverty across wards</w:t>
      </w:r>
    </w:p>
    <w:p w14:paraId="47CDC814" w14:textId="77777777" w:rsidR="00165B05" w:rsidRDefault="00165B05" w:rsidP="00165B05">
      <w:pPr>
        <w:spacing w:after="0" w:line="240" w:lineRule="auto"/>
        <w:rPr>
          <w:rFonts w:eastAsia="Times New Roman" w:cstheme="minorHAnsi"/>
          <w:sz w:val="24"/>
          <w:szCs w:val="24"/>
          <w:lang w:eastAsia="en-GB"/>
        </w:rPr>
      </w:pPr>
    </w:p>
    <w:p w14:paraId="4E849BBA" w14:textId="32CBA154" w:rsidR="00936F50" w:rsidRDefault="006C4B22" w:rsidP="00165B05">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 xml:space="preserve">To what extent is child poverty concentrated in </w:t>
      </w:r>
      <w:r w:rsidR="00860574" w:rsidRPr="00165B05">
        <w:rPr>
          <w:rFonts w:eastAsia="Times New Roman" w:cstheme="minorHAnsi"/>
          <w:sz w:val="24"/>
          <w:szCs w:val="24"/>
          <w:lang w:eastAsia="en-GB"/>
        </w:rPr>
        <w:t>the most deprived areas of the country, as opposed to spread relatively evenly across areas</w:t>
      </w:r>
      <w:r w:rsidR="00AD4FBC">
        <w:rPr>
          <w:rFonts w:eastAsia="Times New Roman" w:cstheme="minorHAnsi"/>
          <w:sz w:val="24"/>
          <w:szCs w:val="24"/>
          <w:lang w:eastAsia="en-GB"/>
        </w:rPr>
        <w:t>?</w:t>
      </w:r>
      <w:r w:rsidR="00860574" w:rsidRPr="00165B05">
        <w:rPr>
          <w:rFonts w:eastAsia="Times New Roman" w:cstheme="minorHAnsi"/>
          <w:sz w:val="24"/>
          <w:szCs w:val="24"/>
          <w:lang w:eastAsia="en-GB"/>
        </w:rPr>
        <w:t xml:space="preserve"> </w:t>
      </w:r>
      <w:r w:rsidR="000A189A">
        <w:rPr>
          <w:rFonts w:eastAsia="Times New Roman" w:cstheme="minorHAnsi"/>
          <w:sz w:val="24"/>
          <w:szCs w:val="24"/>
          <w:lang w:eastAsia="en-GB"/>
        </w:rPr>
        <w:t xml:space="preserve"> </w:t>
      </w:r>
      <w:r w:rsidR="00860574" w:rsidRPr="00165B05">
        <w:rPr>
          <w:rFonts w:eastAsia="Times New Roman" w:cstheme="minorHAnsi"/>
          <w:sz w:val="24"/>
          <w:szCs w:val="24"/>
          <w:lang w:eastAsia="en-GB"/>
        </w:rPr>
        <w:t xml:space="preserve">Any changes in this distribution over time is an indication of how inequalities in life chances based on geography are evolving. </w:t>
      </w:r>
      <w:r w:rsidR="000A189A">
        <w:rPr>
          <w:rFonts w:eastAsia="Times New Roman" w:cstheme="minorHAnsi"/>
          <w:sz w:val="24"/>
          <w:szCs w:val="24"/>
          <w:lang w:eastAsia="en-GB"/>
        </w:rPr>
        <w:t xml:space="preserve"> </w:t>
      </w:r>
      <w:r w:rsidR="00860574" w:rsidRPr="00165B05">
        <w:rPr>
          <w:rFonts w:eastAsia="Times New Roman" w:cstheme="minorHAnsi"/>
          <w:sz w:val="24"/>
          <w:szCs w:val="24"/>
          <w:lang w:eastAsia="en-GB"/>
        </w:rPr>
        <w:t xml:space="preserve">The local data produced for the first time in 2020 give an opportunity to </w:t>
      </w:r>
      <w:r w:rsidR="00936F50" w:rsidRPr="00165B05">
        <w:rPr>
          <w:rFonts w:eastAsia="Times New Roman" w:cstheme="minorHAnsi"/>
          <w:sz w:val="24"/>
          <w:szCs w:val="24"/>
          <w:lang w:eastAsia="en-GB"/>
        </w:rPr>
        <w:t>consider such changes.</w:t>
      </w:r>
    </w:p>
    <w:p w14:paraId="4F8BC045" w14:textId="77777777" w:rsidR="00165B05" w:rsidRPr="00165B05" w:rsidRDefault="00165B05" w:rsidP="00165B05">
      <w:pPr>
        <w:spacing w:after="0" w:line="240" w:lineRule="auto"/>
        <w:rPr>
          <w:rFonts w:eastAsia="Times New Roman" w:cstheme="minorHAnsi"/>
          <w:sz w:val="24"/>
          <w:szCs w:val="24"/>
          <w:lang w:eastAsia="en-GB"/>
        </w:rPr>
      </w:pPr>
    </w:p>
    <w:p w14:paraId="5671079A" w14:textId="7C4F894A" w:rsidR="00BC7B60" w:rsidRDefault="00936F50" w:rsidP="00165B05">
      <w:pPr>
        <w:spacing w:after="0" w:line="240" w:lineRule="auto"/>
        <w:rPr>
          <w:rFonts w:eastAsia="Times New Roman" w:cstheme="minorHAnsi"/>
          <w:sz w:val="24"/>
          <w:szCs w:val="24"/>
          <w:lang w:eastAsia="en-GB"/>
        </w:rPr>
      </w:pPr>
      <w:r w:rsidRPr="00165B05">
        <w:rPr>
          <w:rFonts w:eastAsia="Times New Roman" w:cstheme="minorHAnsi"/>
          <w:sz w:val="24"/>
          <w:szCs w:val="24"/>
          <w:lang w:eastAsia="en-GB"/>
        </w:rPr>
        <w:t xml:space="preserve">Figure </w:t>
      </w:r>
      <w:r w:rsidR="0045483D" w:rsidRPr="00165B05">
        <w:rPr>
          <w:rFonts w:eastAsia="Times New Roman" w:cstheme="minorHAnsi"/>
          <w:sz w:val="24"/>
          <w:szCs w:val="24"/>
          <w:lang w:eastAsia="en-GB"/>
        </w:rPr>
        <w:t>1</w:t>
      </w:r>
      <w:r w:rsidRPr="00165B05">
        <w:rPr>
          <w:rFonts w:eastAsia="Times New Roman" w:cstheme="minorHAnsi"/>
          <w:sz w:val="24"/>
          <w:szCs w:val="24"/>
          <w:lang w:eastAsia="en-GB"/>
        </w:rPr>
        <w:t xml:space="preserve"> shows that </w:t>
      </w:r>
      <w:r w:rsidR="00DD17F6" w:rsidRPr="00165B05">
        <w:rPr>
          <w:rFonts w:eastAsia="Times New Roman" w:cstheme="minorHAnsi"/>
          <w:sz w:val="24"/>
          <w:szCs w:val="24"/>
          <w:lang w:eastAsia="en-GB"/>
        </w:rPr>
        <w:t>if the country’s children are divided in to ten equally-sized groups</w:t>
      </w:r>
      <w:r w:rsidR="00852A7E" w:rsidRPr="00165B05">
        <w:rPr>
          <w:rFonts w:eastAsia="Times New Roman" w:cstheme="minorHAnsi"/>
          <w:sz w:val="24"/>
          <w:szCs w:val="24"/>
          <w:lang w:eastAsia="en-GB"/>
        </w:rPr>
        <w:t>,</w:t>
      </w:r>
      <w:r w:rsidR="00DD17F6" w:rsidRPr="00165B05">
        <w:rPr>
          <w:rFonts w:eastAsia="Times New Roman" w:cstheme="minorHAnsi"/>
          <w:sz w:val="24"/>
          <w:szCs w:val="24"/>
          <w:lang w:eastAsia="en-GB"/>
        </w:rPr>
        <w:t xml:space="preserve"> </w:t>
      </w:r>
      <w:r w:rsidR="00852A7E" w:rsidRPr="00165B05">
        <w:rPr>
          <w:rFonts w:eastAsia="Times New Roman" w:cstheme="minorHAnsi"/>
          <w:sz w:val="24"/>
          <w:szCs w:val="24"/>
          <w:lang w:eastAsia="en-GB"/>
        </w:rPr>
        <w:t xml:space="preserve">classified by the percentage of children in poverty in the ward where they live, over six times as many are in poverty </w:t>
      </w:r>
      <w:r w:rsidR="00E315C2" w:rsidRPr="00165B05">
        <w:rPr>
          <w:rFonts w:eastAsia="Times New Roman" w:cstheme="minorHAnsi"/>
          <w:sz w:val="24"/>
          <w:szCs w:val="24"/>
          <w:lang w:eastAsia="en-GB"/>
        </w:rPr>
        <w:t>in the most deprived than in the least-deprived group.</w:t>
      </w:r>
      <w:r w:rsidR="00412F6C" w:rsidRPr="00165B05">
        <w:rPr>
          <w:rFonts w:eastAsia="Times New Roman" w:cstheme="minorHAnsi"/>
          <w:sz w:val="24"/>
          <w:szCs w:val="24"/>
          <w:lang w:eastAsia="en-GB"/>
        </w:rPr>
        <w:t xml:space="preserve"> </w:t>
      </w:r>
      <w:r w:rsidR="000A189A">
        <w:rPr>
          <w:rFonts w:eastAsia="Times New Roman" w:cstheme="minorHAnsi"/>
          <w:sz w:val="24"/>
          <w:szCs w:val="24"/>
          <w:lang w:eastAsia="en-GB"/>
        </w:rPr>
        <w:t xml:space="preserve"> </w:t>
      </w:r>
      <w:r w:rsidR="00412F6C" w:rsidRPr="00165B05">
        <w:rPr>
          <w:rFonts w:eastAsia="Times New Roman" w:cstheme="minorHAnsi"/>
          <w:sz w:val="24"/>
          <w:szCs w:val="24"/>
          <w:lang w:eastAsia="en-GB"/>
        </w:rPr>
        <w:t xml:space="preserve">However, the diagram also shows that this concentration has got neither better nor worse, despite the general increase in poverty. </w:t>
      </w:r>
      <w:r w:rsidR="000A189A">
        <w:rPr>
          <w:rFonts w:eastAsia="Times New Roman" w:cstheme="minorHAnsi"/>
          <w:sz w:val="24"/>
          <w:szCs w:val="24"/>
          <w:lang w:eastAsia="en-GB"/>
        </w:rPr>
        <w:t xml:space="preserve"> </w:t>
      </w:r>
      <w:r w:rsidR="00412F6C" w:rsidRPr="00165B05">
        <w:rPr>
          <w:rFonts w:eastAsia="Times New Roman" w:cstheme="minorHAnsi"/>
          <w:sz w:val="24"/>
          <w:szCs w:val="24"/>
          <w:lang w:eastAsia="en-GB"/>
        </w:rPr>
        <w:t xml:space="preserve">The proportionate distribution of children </w:t>
      </w:r>
      <w:r w:rsidR="002F46BD" w:rsidRPr="00165B05">
        <w:rPr>
          <w:rFonts w:eastAsia="Times New Roman" w:cstheme="minorHAnsi"/>
          <w:sz w:val="24"/>
          <w:szCs w:val="24"/>
          <w:lang w:eastAsia="en-GB"/>
        </w:rPr>
        <w:t>among the ten groups is almost identical to four years previously.</w:t>
      </w:r>
      <w:r w:rsidR="000A189A">
        <w:rPr>
          <w:rFonts w:eastAsia="Times New Roman" w:cstheme="minorHAnsi"/>
          <w:sz w:val="24"/>
          <w:szCs w:val="24"/>
          <w:lang w:eastAsia="en-GB"/>
        </w:rPr>
        <w:t xml:space="preserve"> </w:t>
      </w:r>
      <w:r w:rsidR="002F46BD" w:rsidRPr="00165B05">
        <w:rPr>
          <w:rFonts w:eastAsia="Times New Roman" w:cstheme="minorHAnsi"/>
          <w:sz w:val="24"/>
          <w:szCs w:val="24"/>
          <w:lang w:eastAsia="en-GB"/>
        </w:rPr>
        <w:t xml:space="preserve"> This suggests that child poverty is deteriorating across better and worse off areas of the country</w:t>
      </w:r>
      <w:r w:rsidR="00B5197B" w:rsidRPr="00165B05">
        <w:rPr>
          <w:rFonts w:eastAsia="Times New Roman" w:cstheme="minorHAnsi"/>
          <w:sz w:val="24"/>
          <w:szCs w:val="24"/>
          <w:lang w:eastAsia="en-GB"/>
        </w:rPr>
        <w:t xml:space="preserve"> in proportion to its previous levels.</w:t>
      </w:r>
    </w:p>
    <w:p w14:paraId="0EE3903F" w14:textId="77777777" w:rsidR="00165B05" w:rsidRDefault="00165B05" w:rsidP="00165B05">
      <w:pPr>
        <w:spacing w:after="0" w:line="240" w:lineRule="auto"/>
        <w:rPr>
          <w:rFonts w:eastAsia="Times New Roman" w:cstheme="minorHAnsi"/>
          <w:sz w:val="24"/>
          <w:szCs w:val="24"/>
          <w:lang w:eastAsia="en-GB"/>
        </w:rPr>
        <w:sectPr w:rsidR="00165B05">
          <w:footerReference w:type="default" r:id="rId16"/>
          <w:pgSz w:w="11906" w:h="16838"/>
          <w:pgMar w:top="1440" w:right="1440" w:bottom="1440" w:left="1440" w:header="708" w:footer="708" w:gutter="0"/>
          <w:cols w:space="708"/>
          <w:docGrid w:linePitch="360"/>
        </w:sectPr>
      </w:pPr>
    </w:p>
    <w:p w14:paraId="2694895C" w14:textId="2B664EA3" w:rsidR="00165B05" w:rsidRPr="00165B05" w:rsidRDefault="00165B05" w:rsidP="00165B05">
      <w:pPr>
        <w:spacing w:after="0" w:line="240" w:lineRule="auto"/>
        <w:rPr>
          <w:rFonts w:eastAsia="Times New Roman" w:cstheme="minorHAnsi"/>
          <w:sz w:val="24"/>
          <w:szCs w:val="24"/>
          <w:lang w:eastAsia="en-GB"/>
        </w:rPr>
      </w:pPr>
    </w:p>
    <w:p w14:paraId="5538B53C" w14:textId="32DF9A21" w:rsidR="00BC7B60" w:rsidRDefault="00BE779F" w:rsidP="00A87DEB">
      <w:pPr>
        <w:jc w:val="center"/>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72B402DC" wp14:editId="0FE107CA">
            <wp:extent cx="7966710" cy="5192701"/>
            <wp:effectExtent l="19050" t="19050" r="1524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0137" cy="5260115"/>
                    </a:xfrm>
                    <a:prstGeom prst="rect">
                      <a:avLst/>
                    </a:prstGeom>
                    <a:noFill/>
                    <a:ln>
                      <a:solidFill>
                        <a:srgbClr val="4472C4"/>
                      </a:solidFill>
                    </a:ln>
                  </pic:spPr>
                </pic:pic>
              </a:graphicData>
            </a:graphic>
          </wp:inline>
        </w:drawing>
      </w:r>
    </w:p>
    <w:p w14:paraId="2D69C141" w14:textId="77777777" w:rsidR="00BE779F" w:rsidRDefault="00BE779F" w:rsidP="006C4B22">
      <w:pPr>
        <w:rPr>
          <w:rFonts w:ascii="Arial" w:eastAsia="Times New Roman" w:hAnsi="Arial" w:cs="Arial"/>
          <w:sz w:val="24"/>
          <w:szCs w:val="24"/>
          <w:lang w:eastAsia="en-GB"/>
        </w:rPr>
      </w:pPr>
    </w:p>
    <w:p w14:paraId="5BE77790" w14:textId="77777777" w:rsidR="00165B05" w:rsidRDefault="00165B05" w:rsidP="006C4B22">
      <w:pPr>
        <w:rPr>
          <w:rFonts w:ascii="Arial" w:eastAsia="Times New Roman" w:hAnsi="Arial" w:cs="Arial"/>
          <w:sz w:val="24"/>
          <w:szCs w:val="24"/>
          <w:lang w:eastAsia="en-GB"/>
        </w:rPr>
        <w:sectPr w:rsidR="00165B05" w:rsidSect="00165B05">
          <w:pgSz w:w="16838" w:h="11906" w:orient="landscape"/>
          <w:pgMar w:top="1440" w:right="1440" w:bottom="1440" w:left="1440" w:header="708" w:footer="708" w:gutter="0"/>
          <w:cols w:space="708"/>
          <w:docGrid w:linePitch="360"/>
        </w:sectPr>
      </w:pPr>
    </w:p>
    <w:p w14:paraId="3BFE26CC" w14:textId="3056944C" w:rsidR="00EE6659" w:rsidRDefault="00B5197B" w:rsidP="00165B05">
      <w:pPr>
        <w:spacing w:after="0" w:line="240" w:lineRule="auto"/>
        <w:rPr>
          <w:rFonts w:ascii="Calibri" w:eastAsia="Times New Roman" w:hAnsi="Calibri" w:cs="Calibri"/>
          <w:sz w:val="24"/>
          <w:szCs w:val="24"/>
          <w:lang w:eastAsia="en-GB"/>
        </w:rPr>
      </w:pPr>
      <w:r w:rsidRPr="00165B05">
        <w:rPr>
          <w:rFonts w:ascii="Calibri" w:eastAsia="Times New Roman" w:hAnsi="Calibri" w:cs="Calibri"/>
          <w:sz w:val="24"/>
          <w:szCs w:val="24"/>
          <w:lang w:eastAsia="en-GB"/>
        </w:rPr>
        <w:lastRenderedPageBreak/>
        <w:t xml:space="preserve">Nevertheless, this does not mean that the deterioration is equally damaging everywhere. </w:t>
      </w:r>
      <w:r w:rsidR="000A189A">
        <w:rPr>
          <w:rFonts w:ascii="Calibri" w:eastAsia="Times New Roman" w:hAnsi="Calibri" w:cs="Calibri"/>
          <w:sz w:val="24"/>
          <w:szCs w:val="24"/>
          <w:lang w:eastAsia="en-GB"/>
        </w:rPr>
        <w:t xml:space="preserve"> </w:t>
      </w:r>
      <w:r w:rsidRPr="00165B05">
        <w:rPr>
          <w:rFonts w:ascii="Calibri" w:eastAsia="Times New Roman" w:hAnsi="Calibri" w:cs="Calibri"/>
          <w:sz w:val="24"/>
          <w:szCs w:val="24"/>
          <w:lang w:eastAsia="en-GB"/>
        </w:rPr>
        <w:t xml:space="preserve">A proportionate increase means that areas starting off with a high rate </w:t>
      </w:r>
      <w:r w:rsidR="008A4B38" w:rsidRPr="00165B05">
        <w:rPr>
          <w:rFonts w:ascii="Calibri" w:eastAsia="Times New Roman" w:hAnsi="Calibri" w:cs="Calibri"/>
          <w:sz w:val="24"/>
          <w:szCs w:val="24"/>
          <w:lang w:eastAsia="en-GB"/>
        </w:rPr>
        <w:t>will see more additional children in poverty than one starting off with a low rate.</w:t>
      </w:r>
      <w:r w:rsidR="000A189A">
        <w:rPr>
          <w:rFonts w:ascii="Calibri" w:eastAsia="Times New Roman" w:hAnsi="Calibri" w:cs="Calibri"/>
          <w:sz w:val="24"/>
          <w:szCs w:val="24"/>
          <w:lang w:eastAsia="en-GB"/>
        </w:rPr>
        <w:t xml:space="preserve"> </w:t>
      </w:r>
      <w:r w:rsidR="008A4B38" w:rsidRPr="00165B05">
        <w:rPr>
          <w:rFonts w:ascii="Calibri" w:eastAsia="Times New Roman" w:hAnsi="Calibri" w:cs="Calibri"/>
          <w:sz w:val="24"/>
          <w:szCs w:val="24"/>
          <w:lang w:eastAsia="en-GB"/>
        </w:rPr>
        <w:t xml:space="preserve"> This is illustrated in Figure 2</w:t>
      </w:r>
      <w:r w:rsidR="00AD01DF" w:rsidRPr="00165B05">
        <w:rPr>
          <w:rFonts w:ascii="Calibri" w:eastAsia="Times New Roman" w:hAnsi="Calibri" w:cs="Calibri"/>
          <w:sz w:val="24"/>
          <w:szCs w:val="24"/>
          <w:lang w:eastAsia="en-GB"/>
        </w:rPr>
        <w:t>.</w:t>
      </w:r>
      <w:r w:rsidR="000A189A">
        <w:rPr>
          <w:rFonts w:ascii="Calibri" w:eastAsia="Times New Roman" w:hAnsi="Calibri" w:cs="Calibri"/>
          <w:sz w:val="24"/>
          <w:szCs w:val="24"/>
          <w:lang w:eastAsia="en-GB"/>
        </w:rPr>
        <w:t xml:space="preserve"> </w:t>
      </w:r>
      <w:r w:rsidR="00D97CCC" w:rsidRPr="00165B05">
        <w:rPr>
          <w:rFonts w:ascii="Calibri" w:eastAsia="Times New Roman" w:hAnsi="Calibri" w:cs="Calibri"/>
          <w:sz w:val="24"/>
          <w:szCs w:val="24"/>
          <w:lang w:eastAsia="en-GB"/>
        </w:rPr>
        <w:t xml:space="preserve"> At the 10</w:t>
      </w:r>
      <w:r w:rsidR="00D97CCC" w:rsidRPr="00165B05">
        <w:rPr>
          <w:rFonts w:ascii="Calibri" w:eastAsia="Times New Roman" w:hAnsi="Calibri" w:cs="Calibri"/>
          <w:sz w:val="24"/>
          <w:szCs w:val="24"/>
          <w:vertAlign w:val="superscript"/>
          <w:lang w:eastAsia="en-GB"/>
        </w:rPr>
        <w:t>th</w:t>
      </w:r>
      <w:r w:rsidR="00D97CCC" w:rsidRPr="00165B05">
        <w:rPr>
          <w:rFonts w:ascii="Calibri" w:eastAsia="Times New Roman" w:hAnsi="Calibri" w:cs="Calibri"/>
          <w:sz w:val="24"/>
          <w:szCs w:val="24"/>
          <w:lang w:eastAsia="en-GB"/>
        </w:rPr>
        <w:t xml:space="preserve"> percentile – the ward </w:t>
      </w:r>
      <w:r w:rsidR="00425C54" w:rsidRPr="00165B05">
        <w:rPr>
          <w:rFonts w:ascii="Calibri" w:eastAsia="Times New Roman" w:hAnsi="Calibri" w:cs="Calibri"/>
          <w:sz w:val="24"/>
          <w:szCs w:val="24"/>
          <w:lang w:eastAsia="en-GB"/>
        </w:rPr>
        <w:t xml:space="preserve">with a child poverty rate higher than </w:t>
      </w:r>
      <w:r w:rsidR="006C6640" w:rsidRPr="00165B05">
        <w:rPr>
          <w:rFonts w:ascii="Calibri" w:eastAsia="Times New Roman" w:hAnsi="Calibri" w:cs="Calibri"/>
          <w:sz w:val="24"/>
          <w:szCs w:val="24"/>
          <w:lang w:eastAsia="en-GB"/>
        </w:rPr>
        <w:t xml:space="preserve">in the best-off wards where 10% of children live, the increase </w:t>
      </w:r>
      <w:r w:rsidR="007E0337" w:rsidRPr="00165B05">
        <w:rPr>
          <w:rFonts w:ascii="Calibri" w:eastAsia="Times New Roman" w:hAnsi="Calibri" w:cs="Calibri"/>
          <w:sz w:val="24"/>
          <w:szCs w:val="24"/>
          <w:lang w:eastAsia="en-GB"/>
        </w:rPr>
        <w:t xml:space="preserve">was from nearly 7% to nearly 8%, meaning one extra child in poverty </w:t>
      </w:r>
      <w:r w:rsidR="0021651D" w:rsidRPr="00165B05">
        <w:rPr>
          <w:rFonts w:ascii="Calibri" w:eastAsia="Times New Roman" w:hAnsi="Calibri" w:cs="Calibri"/>
          <w:sz w:val="24"/>
          <w:szCs w:val="24"/>
          <w:lang w:eastAsia="en-GB"/>
        </w:rPr>
        <w:t>for every hundred children living there.</w:t>
      </w:r>
      <w:r w:rsidR="000A189A">
        <w:rPr>
          <w:rFonts w:ascii="Calibri" w:eastAsia="Times New Roman" w:hAnsi="Calibri" w:cs="Calibri"/>
          <w:sz w:val="24"/>
          <w:szCs w:val="24"/>
          <w:lang w:eastAsia="en-GB"/>
        </w:rPr>
        <w:t xml:space="preserve"> </w:t>
      </w:r>
      <w:r w:rsidR="0021651D" w:rsidRPr="00165B05">
        <w:rPr>
          <w:rFonts w:ascii="Calibri" w:eastAsia="Times New Roman" w:hAnsi="Calibri" w:cs="Calibri"/>
          <w:sz w:val="24"/>
          <w:szCs w:val="24"/>
          <w:lang w:eastAsia="en-GB"/>
        </w:rPr>
        <w:t xml:space="preserve"> At the 90</w:t>
      </w:r>
      <w:r w:rsidR="0021651D" w:rsidRPr="00165B05">
        <w:rPr>
          <w:rFonts w:ascii="Calibri" w:eastAsia="Times New Roman" w:hAnsi="Calibri" w:cs="Calibri"/>
          <w:sz w:val="24"/>
          <w:szCs w:val="24"/>
          <w:vertAlign w:val="superscript"/>
          <w:lang w:eastAsia="en-GB"/>
        </w:rPr>
        <w:t>th</w:t>
      </w:r>
      <w:r w:rsidR="0021651D" w:rsidRPr="00165B05">
        <w:rPr>
          <w:rFonts w:ascii="Calibri" w:eastAsia="Times New Roman" w:hAnsi="Calibri" w:cs="Calibri"/>
          <w:sz w:val="24"/>
          <w:szCs w:val="24"/>
          <w:lang w:eastAsia="en-GB"/>
        </w:rPr>
        <w:t xml:space="preserve"> percentile, it was from 26</w:t>
      </w:r>
      <w:r w:rsidR="00EE6659" w:rsidRPr="00165B05">
        <w:rPr>
          <w:rFonts w:ascii="Calibri" w:eastAsia="Times New Roman" w:hAnsi="Calibri" w:cs="Calibri"/>
          <w:sz w:val="24"/>
          <w:szCs w:val="24"/>
          <w:lang w:eastAsia="en-GB"/>
        </w:rPr>
        <w:t>%</w:t>
      </w:r>
      <w:r w:rsidR="0021651D" w:rsidRPr="00165B05">
        <w:rPr>
          <w:rFonts w:ascii="Calibri" w:eastAsia="Times New Roman" w:hAnsi="Calibri" w:cs="Calibri"/>
          <w:sz w:val="24"/>
          <w:szCs w:val="24"/>
          <w:lang w:eastAsia="en-GB"/>
        </w:rPr>
        <w:t xml:space="preserve"> to 30%,</w:t>
      </w:r>
      <w:r w:rsidR="00EE6659" w:rsidRPr="00165B05">
        <w:rPr>
          <w:rFonts w:ascii="Calibri" w:eastAsia="Times New Roman" w:hAnsi="Calibri" w:cs="Calibri"/>
          <w:sz w:val="24"/>
          <w:szCs w:val="24"/>
          <w:lang w:eastAsia="en-GB"/>
        </w:rPr>
        <w:t xml:space="preserve"> so an additional child in poverty for every 25 children, and at the 99</w:t>
      </w:r>
      <w:r w:rsidR="00EE6659" w:rsidRPr="00165B05">
        <w:rPr>
          <w:rFonts w:ascii="Calibri" w:eastAsia="Times New Roman" w:hAnsi="Calibri" w:cs="Calibri"/>
          <w:sz w:val="24"/>
          <w:szCs w:val="24"/>
          <w:vertAlign w:val="superscript"/>
          <w:lang w:eastAsia="en-GB"/>
        </w:rPr>
        <w:t>th</w:t>
      </w:r>
      <w:r w:rsidR="00EE6659" w:rsidRPr="00165B05">
        <w:rPr>
          <w:rFonts w:ascii="Calibri" w:eastAsia="Times New Roman" w:hAnsi="Calibri" w:cs="Calibri"/>
          <w:sz w:val="24"/>
          <w:szCs w:val="24"/>
          <w:lang w:eastAsia="en-GB"/>
        </w:rPr>
        <w:t xml:space="preserve"> percentile, this rises to one in every ten. </w:t>
      </w:r>
      <w:r w:rsidR="000A189A">
        <w:rPr>
          <w:rFonts w:ascii="Calibri" w:eastAsia="Times New Roman" w:hAnsi="Calibri" w:cs="Calibri"/>
          <w:sz w:val="24"/>
          <w:szCs w:val="24"/>
          <w:lang w:eastAsia="en-GB"/>
        </w:rPr>
        <w:t xml:space="preserve"> </w:t>
      </w:r>
    </w:p>
    <w:p w14:paraId="5E25B191" w14:textId="77777777" w:rsidR="00165B05" w:rsidRPr="00165B05" w:rsidRDefault="00165B05" w:rsidP="00165B05">
      <w:pPr>
        <w:spacing w:after="0" w:line="240" w:lineRule="auto"/>
        <w:rPr>
          <w:rFonts w:ascii="Calibri" w:eastAsia="Times New Roman" w:hAnsi="Calibri" w:cs="Calibri"/>
          <w:sz w:val="24"/>
          <w:szCs w:val="24"/>
          <w:lang w:eastAsia="en-GB"/>
        </w:rPr>
      </w:pPr>
    </w:p>
    <w:p w14:paraId="54C19E79" w14:textId="62E39149" w:rsidR="00D65B88" w:rsidRDefault="00EE6659" w:rsidP="00165B05">
      <w:pPr>
        <w:spacing w:after="0" w:line="240" w:lineRule="auto"/>
        <w:rPr>
          <w:rFonts w:ascii="Calibri" w:eastAsia="Times New Roman" w:hAnsi="Calibri" w:cs="Calibri"/>
          <w:sz w:val="24"/>
          <w:szCs w:val="24"/>
          <w:lang w:eastAsia="en-GB"/>
        </w:rPr>
      </w:pPr>
      <w:r w:rsidRPr="00165B05">
        <w:rPr>
          <w:rFonts w:ascii="Calibri" w:eastAsia="Times New Roman" w:hAnsi="Calibri" w:cs="Calibri"/>
          <w:sz w:val="24"/>
          <w:szCs w:val="24"/>
          <w:lang w:eastAsia="en-GB"/>
        </w:rPr>
        <w:t>These results show that even whe</w:t>
      </w:r>
      <w:r w:rsidR="007A6E48">
        <w:rPr>
          <w:rFonts w:ascii="Calibri" w:eastAsia="Times New Roman" w:hAnsi="Calibri" w:cs="Calibri"/>
          <w:sz w:val="24"/>
          <w:szCs w:val="24"/>
          <w:lang w:eastAsia="en-GB"/>
        </w:rPr>
        <w:t>n</w:t>
      </w:r>
      <w:r w:rsidRPr="00165B05">
        <w:rPr>
          <w:rFonts w:ascii="Calibri" w:eastAsia="Times New Roman" w:hAnsi="Calibri" w:cs="Calibri"/>
          <w:sz w:val="24"/>
          <w:szCs w:val="24"/>
          <w:lang w:eastAsia="en-GB"/>
        </w:rPr>
        <w:t xml:space="preserve"> relative concentrations of poverty do not increase, a rising child poverty rate hits </w:t>
      </w:r>
      <w:r w:rsidR="002F24C7" w:rsidRPr="00165B05">
        <w:rPr>
          <w:rFonts w:ascii="Calibri" w:eastAsia="Times New Roman" w:hAnsi="Calibri" w:cs="Calibri"/>
          <w:sz w:val="24"/>
          <w:szCs w:val="24"/>
          <w:lang w:eastAsia="en-GB"/>
        </w:rPr>
        <w:t>children in more deprived areas harder.</w:t>
      </w:r>
      <w:r w:rsidR="0021651D" w:rsidRPr="00165B05">
        <w:rPr>
          <w:rFonts w:ascii="Calibri" w:eastAsia="Times New Roman" w:hAnsi="Calibri" w:cs="Calibri"/>
          <w:sz w:val="24"/>
          <w:szCs w:val="24"/>
          <w:lang w:eastAsia="en-GB"/>
        </w:rPr>
        <w:t xml:space="preserve"> </w:t>
      </w:r>
      <w:r w:rsidR="006C6640" w:rsidRPr="00165B05">
        <w:rPr>
          <w:rFonts w:ascii="Calibri" w:eastAsia="Times New Roman" w:hAnsi="Calibri" w:cs="Calibri"/>
          <w:sz w:val="24"/>
          <w:szCs w:val="24"/>
          <w:lang w:eastAsia="en-GB"/>
        </w:rPr>
        <w:t xml:space="preserve"> </w:t>
      </w:r>
      <w:proofErr w:type="gramStart"/>
      <w:r w:rsidR="009346E8" w:rsidRPr="00165B05">
        <w:rPr>
          <w:rFonts w:ascii="Calibri" w:eastAsia="Times New Roman" w:hAnsi="Calibri" w:cs="Calibri"/>
          <w:sz w:val="24"/>
          <w:szCs w:val="24"/>
          <w:lang w:eastAsia="en-GB"/>
        </w:rPr>
        <w:t>In particular,</w:t>
      </w:r>
      <w:r w:rsidR="00986482" w:rsidRPr="00165B05">
        <w:rPr>
          <w:rFonts w:ascii="Calibri" w:eastAsia="Times New Roman" w:hAnsi="Calibri" w:cs="Calibri"/>
          <w:sz w:val="24"/>
          <w:szCs w:val="24"/>
          <w:lang w:eastAsia="en-GB"/>
        </w:rPr>
        <w:t xml:space="preserve"> as</w:t>
      </w:r>
      <w:proofErr w:type="gramEnd"/>
      <w:r w:rsidR="00986482" w:rsidRPr="00165B05">
        <w:rPr>
          <w:rFonts w:ascii="Calibri" w:eastAsia="Times New Roman" w:hAnsi="Calibri" w:cs="Calibri"/>
          <w:sz w:val="24"/>
          <w:szCs w:val="24"/>
          <w:lang w:eastAsia="en-GB"/>
        </w:rPr>
        <w:t xml:space="preserve"> shown above,</w:t>
      </w:r>
      <w:r w:rsidR="009346E8" w:rsidRPr="00165B05">
        <w:rPr>
          <w:rFonts w:ascii="Calibri" w:eastAsia="Times New Roman" w:hAnsi="Calibri" w:cs="Calibri"/>
          <w:sz w:val="24"/>
          <w:szCs w:val="24"/>
          <w:lang w:eastAsia="en-GB"/>
        </w:rPr>
        <w:t xml:space="preserve"> </w:t>
      </w:r>
      <w:r w:rsidR="00986482" w:rsidRPr="00165B05">
        <w:rPr>
          <w:rFonts w:ascii="Calibri" w:eastAsia="Times New Roman" w:hAnsi="Calibri" w:cs="Calibri"/>
          <w:sz w:val="24"/>
          <w:szCs w:val="24"/>
          <w:lang w:eastAsia="en-GB"/>
        </w:rPr>
        <w:t xml:space="preserve">children in some deprived areas of England’s metropolitan areas </w:t>
      </w:r>
      <w:r w:rsidR="0012184E" w:rsidRPr="00165B05">
        <w:rPr>
          <w:rFonts w:ascii="Calibri" w:eastAsia="Times New Roman" w:hAnsi="Calibri" w:cs="Calibri"/>
          <w:sz w:val="24"/>
          <w:szCs w:val="24"/>
          <w:lang w:eastAsia="en-GB"/>
        </w:rPr>
        <w:t>outside London have become far more likely to be living in families below the poverty line.</w:t>
      </w:r>
      <w:r w:rsidR="000A189A">
        <w:rPr>
          <w:rFonts w:ascii="Calibri" w:eastAsia="Times New Roman" w:hAnsi="Calibri" w:cs="Calibri"/>
          <w:sz w:val="24"/>
          <w:szCs w:val="24"/>
          <w:lang w:eastAsia="en-GB"/>
        </w:rPr>
        <w:t xml:space="preserve"> </w:t>
      </w:r>
      <w:r w:rsidR="0012184E" w:rsidRPr="00165B05">
        <w:rPr>
          <w:rFonts w:ascii="Calibri" w:eastAsia="Times New Roman" w:hAnsi="Calibri" w:cs="Calibri"/>
          <w:sz w:val="24"/>
          <w:szCs w:val="24"/>
          <w:lang w:eastAsia="en-GB"/>
        </w:rPr>
        <w:t xml:space="preserve"> </w:t>
      </w:r>
      <w:r w:rsidR="00797D5C" w:rsidRPr="00165B05">
        <w:rPr>
          <w:rFonts w:ascii="Calibri" w:eastAsia="Times New Roman" w:hAnsi="Calibri" w:cs="Calibri"/>
          <w:sz w:val="24"/>
          <w:szCs w:val="24"/>
          <w:lang w:eastAsia="en-GB"/>
        </w:rPr>
        <w:t>The figures reviewed in this paper are shining a spotlight on such changes</w:t>
      </w:r>
      <w:r w:rsidR="00D51443" w:rsidRPr="00165B05">
        <w:rPr>
          <w:rFonts w:ascii="Calibri" w:eastAsia="Times New Roman" w:hAnsi="Calibri" w:cs="Calibri"/>
          <w:sz w:val="24"/>
          <w:szCs w:val="24"/>
          <w:lang w:eastAsia="en-GB"/>
        </w:rPr>
        <w:t xml:space="preserve">, showing how the chances of children in some areas have deteriorated </w:t>
      </w:r>
      <w:r w:rsidR="00710E82" w:rsidRPr="00165B05">
        <w:rPr>
          <w:rFonts w:ascii="Calibri" w:eastAsia="Times New Roman" w:hAnsi="Calibri" w:cs="Calibri"/>
          <w:sz w:val="24"/>
          <w:szCs w:val="24"/>
          <w:lang w:eastAsia="en-GB"/>
        </w:rPr>
        <w:t xml:space="preserve">to a greater extent than shown by the creeping up of the </w:t>
      </w:r>
      <w:r w:rsidR="002B6DF6" w:rsidRPr="00165B05">
        <w:rPr>
          <w:rFonts w:ascii="Calibri" w:eastAsia="Times New Roman" w:hAnsi="Calibri" w:cs="Calibri"/>
          <w:sz w:val="24"/>
          <w:szCs w:val="24"/>
          <w:lang w:eastAsia="en-GB"/>
        </w:rPr>
        <w:t>national child poverty rate.</w:t>
      </w:r>
      <w:r w:rsidR="00986482" w:rsidRPr="00165B05">
        <w:rPr>
          <w:rFonts w:ascii="Calibri" w:eastAsia="Times New Roman" w:hAnsi="Calibri" w:cs="Calibri"/>
          <w:sz w:val="24"/>
          <w:szCs w:val="24"/>
          <w:lang w:eastAsia="en-GB"/>
        </w:rPr>
        <w:t xml:space="preserve"> </w:t>
      </w:r>
      <w:r w:rsidR="000A189A">
        <w:rPr>
          <w:rFonts w:ascii="Calibri" w:eastAsia="Times New Roman" w:hAnsi="Calibri" w:cs="Calibri"/>
          <w:sz w:val="24"/>
          <w:szCs w:val="24"/>
          <w:lang w:eastAsia="en-GB"/>
        </w:rPr>
        <w:t xml:space="preserve"> </w:t>
      </w:r>
    </w:p>
    <w:p w14:paraId="1233E1F2" w14:textId="77777777" w:rsidR="00D63063" w:rsidRDefault="00D63063" w:rsidP="006C4B22">
      <w:pPr>
        <w:rPr>
          <w:rFonts w:ascii="Calibri" w:eastAsia="Times New Roman" w:hAnsi="Calibri" w:cs="Calibri"/>
          <w:sz w:val="24"/>
          <w:szCs w:val="24"/>
          <w:lang w:eastAsia="en-GB"/>
        </w:rPr>
        <w:sectPr w:rsidR="00D63063">
          <w:pgSz w:w="11906" w:h="16838"/>
          <w:pgMar w:top="1440" w:right="1440" w:bottom="1440" w:left="1440" w:header="708" w:footer="708" w:gutter="0"/>
          <w:cols w:space="708"/>
          <w:docGrid w:linePitch="360"/>
        </w:sectPr>
      </w:pPr>
    </w:p>
    <w:p w14:paraId="0EF05D3B" w14:textId="2C8CE031" w:rsidR="00ED181A" w:rsidRPr="00ED181A" w:rsidRDefault="00ED181A" w:rsidP="00ED181A">
      <w:pPr>
        <w:rPr>
          <w:rFonts w:ascii="Arial" w:eastAsia="Times New Roman" w:hAnsi="Arial" w:cs="Arial"/>
          <w:b/>
          <w:bCs/>
          <w:sz w:val="24"/>
          <w:szCs w:val="24"/>
          <w:lang w:eastAsia="en-GB"/>
        </w:rPr>
      </w:pPr>
      <w:r w:rsidRPr="00ED181A">
        <w:rPr>
          <w:rFonts w:ascii="Arial" w:eastAsia="Times New Roman" w:hAnsi="Arial" w:cs="Arial"/>
          <w:b/>
          <w:bCs/>
          <w:sz w:val="24"/>
          <w:szCs w:val="24"/>
          <w:lang w:eastAsia="en-GB"/>
        </w:rPr>
        <w:lastRenderedPageBreak/>
        <w:t>Figure 2</w:t>
      </w:r>
      <w:r>
        <w:rPr>
          <w:rFonts w:ascii="Arial" w:eastAsia="Times New Roman" w:hAnsi="Arial" w:cs="Arial"/>
          <w:b/>
          <w:bCs/>
          <w:sz w:val="24"/>
          <w:szCs w:val="24"/>
          <w:lang w:eastAsia="en-GB"/>
        </w:rPr>
        <w:tab/>
      </w:r>
      <w:r w:rsidRPr="00ED181A">
        <w:rPr>
          <w:rFonts w:ascii="Arial" w:eastAsia="Times New Roman" w:hAnsi="Arial" w:cs="Arial"/>
          <w:b/>
          <w:bCs/>
          <w:sz w:val="24"/>
          <w:szCs w:val="24"/>
          <w:lang w:eastAsia="en-GB"/>
        </w:rPr>
        <w:t>Child poverty rates across wards, 2014/15 and 2018/19</w:t>
      </w:r>
    </w:p>
    <w:p w14:paraId="3893943E" w14:textId="33817DDC" w:rsidR="008C7B78" w:rsidRDefault="00ED181A" w:rsidP="00ED181A">
      <w:pPr>
        <w:rPr>
          <w:rFonts w:ascii="Arial" w:eastAsia="Times New Roman" w:hAnsi="Arial" w:cs="Arial"/>
          <w:b/>
          <w:bCs/>
          <w:sz w:val="20"/>
          <w:szCs w:val="20"/>
          <w:lang w:eastAsia="en-GB"/>
        </w:rPr>
      </w:pPr>
      <w:r w:rsidRPr="00ED181A">
        <w:rPr>
          <w:rFonts w:ascii="Arial" w:eastAsia="Times New Roman" w:hAnsi="Arial" w:cs="Arial"/>
          <w:b/>
          <w:bCs/>
          <w:sz w:val="20"/>
          <w:szCs w:val="20"/>
          <w:lang w:eastAsia="en-GB"/>
        </w:rPr>
        <w:t>% in poverty by each percentile of child population, ranked by ward CP rates</w:t>
      </w:r>
    </w:p>
    <w:p w14:paraId="3FFA3AA8" w14:textId="4F5DC087" w:rsidR="00D27D7E" w:rsidRPr="00ED181A" w:rsidRDefault="00ED181A" w:rsidP="00ED181A">
      <w:pPr>
        <w:rPr>
          <w:rFonts w:ascii="Arial" w:eastAsia="Times New Roman" w:hAnsi="Arial" w:cs="Arial"/>
          <w:b/>
          <w:bCs/>
          <w:sz w:val="20"/>
          <w:szCs w:val="20"/>
          <w:lang w:eastAsia="en-GB"/>
        </w:rPr>
      </w:pPr>
      <w:r>
        <w:rPr>
          <w:rFonts w:ascii="Arial" w:eastAsia="Times New Roman" w:hAnsi="Arial" w:cs="Arial"/>
          <w:b/>
          <w:bCs/>
          <w:noProof/>
          <w:sz w:val="20"/>
          <w:szCs w:val="20"/>
          <w:lang w:eastAsia="en-GB"/>
        </w:rPr>
        <w:drawing>
          <wp:inline distT="0" distB="0" distL="0" distR="0" wp14:anchorId="64F67E45" wp14:editId="0D534A80">
            <wp:extent cx="7863840" cy="49923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7920" cy="5020354"/>
                    </a:xfrm>
                    <a:prstGeom prst="rect">
                      <a:avLst/>
                    </a:prstGeom>
                    <a:noFill/>
                  </pic:spPr>
                </pic:pic>
              </a:graphicData>
            </a:graphic>
          </wp:inline>
        </w:drawing>
      </w:r>
    </w:p>
    <w:p w14:paraId="36A4BACC" w14:textId="77777777" w:rsidR="00D63063" w:rsidRDefault="00D63063">
      <w:pPr>
        <w:rPr>
          <w:b/>
          <w:bCs/>
        </w:rPr>
        <w:sectPr w:rsidR="00D63063" w:rsidSect="00D63063">
          <w:pgSz w:w="16838" w:h="11906" w:orient="landscape"/>
          <w:pgMar w:top="1440" w:right="1440" w:bottom="1440" w:left="1440" w:header="708" w:footer="708" w:gutter="0"/>
          <w:cols w:space="708"/>
          <w:docGrid w:linePitch="360"/>
        </w:sectPr>
      </w:pPr>
    </w:p>
    <w:p w14:paraId="01727E24" w14:textId="4EFB4E0B" w:rsidR="00911F8E" w:rsidRPr="00165B05" w:rsidRDefault="00911F8E" w:rsidP="00165B05">
      <w:pPr>
        <w:spacing w:after="0" w:line="240" w:lineRule="auto"/>
        <w:rPr>
          <w:b/>
          <w:bCs/>
          <w:sz w:val="24"/>
          <w:szCs w:val="24"/>
        </w:rPr>
      </w:pPr>
      <w:r w:rsidRPr="00165B05">
        <w:rPr>
          <w:b/>
          <w:bCs/>
          <w:sz w:val="24"/>
          <w:szCs w:val="24"/>
        </w:rPr>
        <w:lastRenderedPageBreak/>
        <w:t>Appendix</w:t>
      </w:r>
      <w:r w:rsidR="000A189A">
        <w:rPr>
          <w:b/>
          <w:bCs/>
          <w:sz w:val="24"/>
          <w:szCs w:val="24"/>
        </w:rPr>
        <w:tab/>
        <w:t>S</w:t>
      </w:r>
      <w:r w:rsidRPr="00165B05">
        <w:rPr>
          <w:b/>
          <w:bCs/>
          <w:sz w:val="24"/>
          <w:szCs w:val="24"/>
        </w:rPr>
        <w:t>ummary of method for deriving the new local child poverty indicator</w:t>
      </w:r>
    </w:p>
    <w:p w14:paraId="4C15E06C" w14:textId="77777777" w:rsidR="00911F8E" w:rsidRPr="00165B05" w:rsidRDefault="00911F8E" w:rsidP="00165B05">
      <w:pPr>
        <w:spacing w:after="0" w:line="240" w:lineRule="auto"/>
        <w:rPr>
          <w:sz w:val="24"/>
          <w:szCs w:val="24"/>
        </w:rPr>
      </w:pPr>
    </w:p>
    <w:p w14:paraId="35962EA7" w14:textId="70DC1E64" w:rsidR="00911F8E" w:rsidRDefault="00911F8E" w:rsidP="00165B05">
      <w:pPr>
        <w:spacing w:after="0" w:line="240" w:lineRule="auto"/>
        <w:rPr>
          <w:sz w:val="24"/>
          <w:szCs w:val="24"/>
        </w:rPr>
      </w:pPr>
      <w:r w:rsidRPr="00165B05">
        <w:rPr>
          <w:sz w:val="24"/>
          <w:szCs w:val="24"/>
        </w:rPr>
        <w:t>The local child poverty estimates compiled by DWP/HMRC are based on family income data.</w:t>
      </w:r>
    </w:p>
    <w:p w14:paraId="4786E7B3" w14:textId="77777777" w:rsidR="00165B05" w:rsidRPr="00165B05" w:rsidRDefault="00165B05" w:rsidP="00165B05">
      <w:pPr>
        <w:spacing w:after="0" w:line="240" w:lineRule="auto"/>
        <w:rPr>
          <w:sz w:val="24"/>
          <w:szCs w:val="24"/>
        </w:rPr>
      </w:pPr>
    </w:p>
    <w:p w14:paraId="5D8899BA" w14:textId="5119ADE3" w:rsidR="00911F8E" w:rsidRDefault="00911F8E" w:rsidP="00165B05">
      <w:pPr>
        <w:spacing w:after="0" w:line="240" w:lineRule="auto"/>
        <w:rPr>
          <w:sz w:val="24"/>
          <w:szCs w:val="24"/>
        </w:rPr>
      </w:pPr>
      <w:r w:rsidRPr="00165B05">
        <w:rPr>
          <w:sz w:val="24"/>
          <w:szCs w:val="24"/>
        </w:rPr>
        <w:t xml:space="preserve">A </w:t>
      </w:r>
      <w:r w:rsidR="000A189A">
        <w:rPr>
          <w:sz w:val="24"/>
          <w:szCs w:val="24"/>
        </w:rPr>
        <w:t>‘</w:t>
      </w:r>
      <w:r w:rsidRPr="00165B05">
        <w:rPr>
          <w:sz w:val="24"/>
          <w:szCs w:val="24"/>
        </w:rPr>
        <w:t>family</w:t>
      </w:r>
      <w:r w:rsidR="000A189A">
        <w:rPr>
          <w:sz w:val="24"/>
          <w:szCs w:val="24"/>
        </w:rPr>
        <w:t>’</w:t>
      </w:r>
      <w:r w:rsidRPr="00165B05">
        <w:rPr>
          <w:sz w:val="24"/>
          <w:szCs w:val="24"/>
        </w:rPr>
        <w:t xml:space="preserve"> is defined as a single person or couple plus any dependent children.</w:t>
      </w:r>
    </w:p>
    <w:p w14:paraId="786D5C1C" w14:textId="77777777" w:rsidR="00165B05" w:rsidRPr="00165B05" w:rsidRDefault="00165B05" w:rsidP="00165B05">
      <w:pPr>
        <w:spacing w:after="0" w:line="240" w:lineRule="auto"/>
        <w:rPr>
          <w:sz w:val="24"/>
          <w:szCs w:val="24"/>
        </w:rPr>
      </w:pPr>
    </w:p>
    <w:p w14:paraId="5C7E6556" w14:textId="080AC432" w:rsidR="00911F8E" w:rsidRDefault="00911F8E" w:rsidP="00165B05">
      <w:pPr>
        <w:spacing w:after="0" w:line="240" w:lineRule="auto"/>
        <w:rPr>
          <w:sz w:val="24"/>
          <w:szCs w:val="24"/>
        </w:rPr>
      </w:pPr>
      <w:r w:rsidRPr="00165B05">
        <w:rPr>
          <w:sz w:val="24"/>
          <w:szCs w:val="24"/>
        </w:rPr>
        <w:t xml:space="preserve">This is not the same as a </w:t>
      </w:r>
      <w:r w:rsidR="000A189A">
        <w:rPr>
          <w:sz w:val="24"/>
          <w:szCs w:val="24"/>
        </w:rPr>
        <w:t>‘</w:t>
      </w:r>
      <w:r w:rsidRPr="00165B05">
        <w:rPr>
          <w:sz w:val="24"/>
          <w:szCs w:val="24"/>
        </w:rPr>
        <w:t>household</w:t>
      </w:r>
      <w:r w:rsidR="000A189A">
        <w:rPr>
          <w:sz w:val="24"/>
          <w:szCs w:val="24"/>
        </w:rPr>
        <w:t>’</w:t>
      </w:r>
      <w:r w:rsidRPr="00165B05">
        <w:rPr>
          <w:sz w:val="24"/>
          <w:szCs w:val="24"/>
        </w:rPr>
        <w:t>, which also includes people living together and sharing some costs and/or living space, who are not in the same family.</w:t>
      </w:r>
    </w:p>
    <w:p w14:paraId="68F20443" w14:textId="77777777" w:rsidR="00165B05" w:rsidRPr="00165B05" w:rsidRDefault="00165B05" w:rsidP="00165B05">
      <w:pPr>
        <w:spacing w:after="0" w:line="240" w:lineRule="auto"/>
        <w:rPr>
          <w:sz w:val="24"/>
          <w:szCs w:val="24"/>
        </w:rPr>
      </w:pPr>
    </w:p>
    <w:p w14:paraId="78027C3D" w14:textId="279A7554" w:rsidR="00911F8E" w:rsidRDefault="00911F8E" w:rsidP="00165B05">
      <w:pPr>
        <w:spacing w:after="0" w:line="240" w:lineRule="auto"/>
        <w:rPr>
          <w:sz w:val="24"/>
          <w:szCs w:val="24"/>
        </w:rPr>
      </w:pPr>
      <w:r w:rsidRPr="00165B05">
        <w:rPr>
          <w:sz w:val="24"/>
          <w:szCs w:val="24"/>
        </w:rPr>
        <w:t>In these data, the income of all families is considered using tax, tax credit and benefit data.</w:t>
      </w:r>
    </w:p>
    <w:p w14:paraId="6B93DC13" w14:textId="77777777" w:rsidR="00165B05" w:rsidRPr="00165B05" w:rsidRDefault="00165B05" w:rsidP="00165B05">
      <w:pPr>
        <w:spacing w:after="0" w:line="240" w:lineRule="auto"/>
        <w:rPr>
          <w:sz w:val="24"/>
          <w:szCs w:val="24"/>
        </w:rPr>
      </w:pPr>
    </w:p>
    <w:p w14:paraId="126534DC" w14:textId="720B414D" w:rsidR="00911F8E" w:rsidRDefault="00911F8E" w:rsidP="00165B05">
      <w:pPr>
        <w:spacing w:after="0" w:line="240" w:lineRule="auto"/>
        <w:rPr>
          <w:sz w:val="24"/>
          <w:szCs w:val="24"/>
        </w:rPr>
      </w:pPr>
      <w:r w:rsidRPr="00165B05">
        <w:rPr>
          <w:sz w:val="24"/>
          <w:szCs w:val="24"/>
        </w:rPr>
        <w:t xml:space="preserve">(This is not as complete an account of income as in household income surveys since it excludes some kinds of income such as investment income. </w:t>
      </w:r>
      <w:r w:rsidR="000A189A">
        <w:rPr>
          <w:sz w:val="24"/>
          <w:szCs w:val="24"/>
        </w:rPr>
        <w:t xml:space="preserve"> </w:t>
      </w:r>
      <w:r w:rsidRPr="00165B05">
        <w:rPr>
          <w:sz w:val="24"/>
          <w:szCs w:val="24"/>
        </w:rPr>
        <w:t>However, it gives a consistently defined income estimate based on the whole population not just on a sample as in the surveys, making local area calculations possible.)</w:t>
      </w:r>
      <w:r w:rsidR="000A189A">
        <w:rPr>
          <w:sz w:val="24"/>
          <w:szCs w:val="24"/>
        </w:rPr>
        <w:t xml:space="preserve">  </w:t>
      </w:r>
    </w:p>
    <w:p w14:paraId="09F4C387" w14:textId="77777777" w:rsidR="00165B05" w:rsidRPr="00165B05" w:rsidRDefault="00165B05" w:rsidP="00165B05">
      <w:pPr>
        <w:spacing w:after="0" w:line="240" w:lineRule="auto"/>
        <w:rPr>
          <w:sz w:val="24"/>
          <w:szCs w:val="24"/>
        </w:rPr>
      </w:pPr>
    </w:p>
    <w:p w14:paraId="4FA9A9C6" w14:textId="34D5217B" w:rsidR="00911F8E" w:rsidRDefault="00911F8E" w:rsidP="00165B05">
      <w:pPr>
        <w:spacing w:after="0" w:line="240" w:lineRule="auto"/>
        <w:rPr>
          <w:sz w:val="24"/>
          <w:szCs w:val="24"/>
        </w:rPr>
      </w:pPr>
      <w:r w:rsidRPr="00165B05">
        <w:rPr>
          <w:sz w:val="24"/>
          <w:szCs w:val="24"/>
        </w:rPr>
        <w:t>Even though the estimates are based on family income, they seek to make an estimate of household poverty, consistent with the Households Below Average Income measure</w:t>
      </w:r>
      <w:r w:rsidR="000A189A">
        <w:rPr>
          <w:sz w:val="24"/>
          <w:szCs w:val="24"/>
        </w:rPr>
        <w:t>.</w:t>
      </w:r>
    </w:p>
    <w:p w14:paraId="5D35DDFA" w14:textId="77777777" w:rsidR="00165B05" w:rsidRPr="00165B05" w:rsidRDefault="00165B05" w:rsidP="00165B05">
      <w:pPr>
        <w:spacing w:after="0" w:line="240" w:lineRule="auto"/>
        <w:rPr>
          <w:sz w:val="24"/>
          <w:szCs w:val="24"/>
        </w:rPr>
      </w:pPr>
    </w:p>
    <w:p w14:paraId="3AE2E034" w14:textId="7691A139" w:rsidR="00911F8E" w:rsidRDefault="00911F8E" w:rsidP="00165B05">
      <w:pPr>
        <w:spacing w:after="0" w:line="240" w:lineRule="auto"/>
        <w:rPr>
          <w:sz w:val="24"/>
          <w:szCs w:val="24"/>
        </w:rPr>
      </w:pPr>
      <w:r w:rsidRPr="00165B05">
        <w:rPr>
          <w:sz w:val="24"/>
          <w:szCs w:val="24"/>
        </w:rPr>
        <w:t>They do this by setting the results alongside the household rates of child poverty in the HBAI survey, broken down by region and work status.</w:t>
      </w:r>
    </w:p>
    <w:p w14:paraId="4BE30D01" w14:textId="77777777" w:rsidR="00165B05" w:rsidRPr="00165B05" w:rsidRDefault="00165B05" w:rsidP="00165B05">
      <w:pPr>
        <w:spacing w:after="0" w:line="240" w:lineRule="auto"/>
        <w:rPr>
          <w:sz w:val="24"/>
          <w:szCs w:val="24"/>
        </w:rPr>
      </w:pPr>
    </w:p>
    <w:p w14:paraId="2CC00B7A" w14:textId="6076BE98" w:rsidR="00911F8E" w:rsidRDefault="00911F8E" w:rsidP="00165B05">
      <w:pPr>
        <w:spacing w:after="0" w:line="240" w:lineRule="auto"/>
        <w:rPr>
          <w:sz w:val="24"/>
          <w:szCs w:val="24"/>
        </w:rPr>
      </w:pPr>
      <w:r w:rsidRPr="00165B05">
        <w:rPr>
          <w:sz w:val="24"/>
          <w:szCs w:val="24"/>
        </w:rPr>
        <w:t>In each region, the percentage of children in household poverty before housing costs is observed from HBAI, both for those living in families where at least one parent works and those in non-working families.</w:t>
      </w:r>
    </w:p>
    <w:p w14:paraId="467AC840" w14:textId="77777777" w:rsidR="00165B05" w:rsidRPr="00165B05" w:rsidRDefault="00165B05" w:rsidP="00165B05">
      <w:pPr>
        <w:spacing w:after="0" w:line="240" w:lineRule="auto"/>
        <w:rPr>
          <w:sz w:val="24"/>
          <w:szCs w:val="24"/>
        </w:rPr>
      </w:pPr>
    </w:p>
    <w:p w14:paraId="5E84FFF7" w14:textId="6F6122D4" w:rsidR="00911F8E" w:rsidRDefault="00911F8E" w:rsidP="00165B05">
      <w:pPr>
        <w:spacing w:after="0" w:line="240" w:lineRule="auto"/>
        <w:rPr>
          <w:sz w:val="24"/>
          <w:szCs w:val="24"/>
        </w:rPr>
      </w:pPr>
      <w:r w:rsidRPr="00165B05">
        <w:rPr>
          <w:sz w:val="24"/>
          <w:szCs w:val="24"/>
        </w:rPr>
        <w:t>In each case, those same percentage poverty rates are assumed to apply to the family income results collected by DWP and HMRC.</w:t>
      </w:r>
    </w:p>
    <w:p w14:paraId="7C820836" w14:textId="77777777" w:rsidR="00165B05" w:rsidRPr="00165B05" w:rsidRDefault="00165B05" w:rsidP="00165B05">
      <w:pPr>
        <w:spacing w:after="0" w:line="240" w:lineRule="auto"/>
        <w:rPr>
          <w:sz w:val="24"/>
          <w:szCs w:val="24"/>
        </w:rPr>
      </w:pPr>
    </w:p>
    <w:p w14:paraId="2F5C8CDC" w14:textId="238200B8" w:rsidR="00911F8E" w:rsidRDefault="00911F8E" w:rsidP="00165B05">
      <w:pPr>
        <w:spacing w:after="0" w:line="240" w:lineRule="auto"/>
        <w:rPr>
          <w:sz w:val="24"/>
          <w:szCs w:val="24"/>
        </w:rPr>
      </w:pPr>
      <w:r w:rsidRPr="00165B05">
        <w:rPr>
          <w:sz w:val="24"/>
          <w:szCs w:val="24"/>
        </w:rPr>
        <w:t>For example, if 10% children in working families in Region A. are in household poverty according to HBAI, the 10% of children in working families in that region with the lowest reported family incomes are also assumed to be in poverty.</w:t>
      </w:r>
    </w:p>
    <w:p w14:paraId="4D626B7C" w14:textId="77777777" w:rsidR="00165B05" w:rsidRPr="00165B05" w:rsidRDefault="00165B05" w:rsidP="00165B05">
      <w:pPr>
        <w:spacing w:after="0" w:line="240" w:lineRule="auto"/>
        <w:rPr>
          <w:sz w:val="24"/>
          <w:szCs w:val="24"/>
        </w:rPr>
      </w:pPr>
    </w:p>
    <w:p w14:paraId="0C949D81" w14:textId="0DCAF864" w:rsidR="00911F8E" w:rsidRDefault="00911F8E" w:rsidP="00165B05">
      <w:pPr>
        <w:spacing w:after="0" w:line="240" w:lineRule="auto"/>
        <w:rPr>
          <w:sz w:val="24"/>
          <w:szCs w:val="24"/>
        </w:rPr>
      </w:pPr>
      <w:r w:rsidRPr="00165B05">
        <w:rPr>
          <w:sz w:val="24"/>
          <w:szCs w:val="24"/>
        </w:rPr>
        <w:t>By observing in which areas within the region those 10% of children live, and by repeating this for children in non-working families, the number and hence percentage of children in each local area estimated to be in household poverty is derived.</w:t>
      </w:r>
    </w:p>
    <w:p w14:paraId="5F837706" w14:textId="77777777" w:rsidR="00165B05" w:rsidRPr="00165B05" w:rsidRDefault="00165B05" w:rsidP="00165B05">
      <w:pPr>
        <w:spacing w:after="0" w:line="240" w:lineRule="auto"/>
        <w:rPr>
          <w:sz w:val="24"/>
          <w:szCs w:val="24"/>
        </w:rPr>
      </w:pPr>
    </w:p>
    <w:p w14:paraId="58A85A04" w14:textId="7FAF4336" w:rsidR="00911F8E" w:rsidRDefault="00911F8E" w:rsidP="00165B05">
      <w:pPr>
        <w:spacing w:after="0" w:line="240" w:lineRule="auto"/>
        <w:rPr>
          <w:sz w:val="24"/>
          <w:szCs w:val="24"/>
        </w:rPr>
      </w:pPr>
      <w:r w:rsidRPr="00165B05">
        <w:rPr>
          <w:sz w:val="24"/>
          <w:szCs w:val="24"/>
        </w:rPr>
        <w:t>Unlike other child poverty data, which covers children up to the end of secondary school, these estimates are only for chi</w:t>
      </w:r>
      <w:r w:rsidR="00AD4FBC">
        <w:rPr>
          <w:sz w:val="24"/>
          <w:szCs w:val="24"/>
        </w:rPr>
        <w:t>l</w:t>
      </w:r>
      <w:r w:rsidRPr="00165B05">
        <w:rPr>
          <w:sz w:val="24"/>
          <w:szCs w:val="24"/>
        </w:rPr>
        <w:t>dren under the age of 16.</w:t>
      </w:r>
      <w:r w:rsidR="000A189A">
        <w:rPr>
          <w:sz w:val="24"/>
          <w:szCs w:val="24"/>
        </w:rPr>
        <w:t xml:space="preserve"> </w:t>
      </w:r>
      <w:r w:rsidRPr="00165B05">
        <w:rPr>
          <w:sz w:val="24"/>
          <w:szCs w:val="24"/>
        </w:rPr>
        <w:t xml:space="preserve"> This is because </w:t>
      </w:r>
      <w:proofErr w:type="gramStart"/>
      <w:r w:rsidRPr="00165B05">
        <w:rPr>
          <w:sz w:val="24"/>
          <w:szCs w:val="24"/>
        </w:rPr>
        <w:t>in order to</w:t>
      </w:r>
      <w:proofErr w:type="gramEnd"/>
      <w:r w:rsidRPr="00165B05">
        <w:rPr>
          <w:sz w:val="24"/>
          <w:szCs w:val="24"/>
        </w:rPr>
        <w:t xml:space="preserve"> derive percentage rates, population data by age (mid-year estimates) have been used. </w:t>
      </w:r>
      <w:r w:rsidR="000A189A">
        <w:rPr>
          <w:sz w:val="24"/>
          <w:szCs w:val="24"/>
        </w:rPr>
        <w:t xml:space="preserve"> </w:t>
      </w:r>
      <w:r w:rsidRPr="00165B05">
        <w:rPr>
          <w:sz w:val="24"/>
          <w:szCs w:val="24"/>
        </w:rPr>
        <w:t xml:space="preserve">Conventionally, a 'child' over the age of 16 is one who is still in full-time secondary education, so not all </w:t>
      </w:r>
      <w:proofErr w:type="gramStart"/>
      <w:r w:rsidRPr="00165B05">
        <w:rPr>
          <w:sz w:val="24"/>
          <w:szCs w:val="24"/>
        </w:rPr>
        <w:t>16-19 year</w:t>
      </w:r>
      <w:proofErr w:type="gramEnd"/>
      <w:r w:rsidRPr="00165B05">
        <w:rPr>
          <w:sz w:val="24"/>
          <w:szCs w:val="24"/>
        </w:rPr>
        <w:t xml:space="preserve"> olds are considered.</w:t>
      </w:r>
      <w:r w:rsidR="000A189A">
        <w:rPr>
          <w:sz w:val="24"/>
          <w:szCs w:val="24"/>
        </w:rPr>
        <w:t xml:space="preserve"> </w:t>
      </w:r>
      <w:r w:rsidRPr="00165B05">
        <w:rPr>
          <w:sz w:val="24"/>
          <w:szCs w:val="24"/>
        </w:rPr>
        <w:t xml:space="preserve"> The previous means of identifying the child population, Child Benefit, is no longer usable because the exclusion of some well-off families from eligibility has made it an incomplete count. </w:t>
      </w:r>
      <w:r w:rsidR="000A189A">
        <w:rPr>
          <w:sz w:val="24"/>
          <w:szCs w:val="24"/>
        </w:rPr>
        <w:t xml:space="preserve"> </w:t>
      </w:r>
    </w:p>
    <w:p w14:paraId="52BBFCAA" w14:textId="77777777" w:rsidR="00165B05" w:rsidRPr="00165B05" w:rsidRDefault="00165B05" w:rsidP="00165B05">
      <w:pPr>
        <w:spacing w:after="0" w:line="240" w:lineRule="auto"/>
        <w:rPr>
          <w:sz w:val="24"/>
          <w:szCs w:val="24"/>
        </w:rPr>
      </w:pPr>
    </w:p>
    <w:sectPr w:rsidR="00165B05" w:rsidRPr="00165B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5FC40" w14:textId="77777777" w:rsidR="00AD4FBC" w:rsidRDefault="00AD4FBC" w:rsidP="00AD4FBC">
      <w:pPr>
        <w:spacing w:after="0" w:line="240" w:lineRule="auto"/>
      </w:pPr>
      <w:r>
        <w:separator/>
      </w:r>
    </w:p>
  </w:endnote>
  <w:endnote w:type="continuationSeparator" w:id="0">
    <w:p w14:paraId="665D00B2" w14:textId="77777777" w:rsidR="00AD4FBC" w:rsidRDefault="00AD4FBC" w:rsidP="00AD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208502"/>
      <w:docPartObj>
        <w:docPartGallery w:val="Page Numbers (Bottom of Page)"/>
        <w:docPartUnique/>
      </w:docPartObj>
    </w:sdtPr>
    <w:sdtEndPr>
      <w:rPr>
        <w:noProof/>
        <w:sz w:val="24"/>
        <w:szCs w:val="24"/>
      </w:rPr>
    </w:sdtEndPr>
    <w:sdtContent>
      <w:p w14:paraId="3BD7209F" w14:textId="44EAB60A" w:rsidR="00D27D7E" w:rsidRPr="00D27D7E" w:rsidRDefault="00D27D7E" w:rsidP="00D27D7E">
        <w:pPr>
          <w:pStyle w:val="Footer"/>
          <w:jc w:val="center"/>
          <w:rPr>
            <w:sz w:val="24"/>
            <w:szCs w:val="24"/>
          </w:rPr>
        </w:pPr>
        <w:r w:rsidRPr="00D27D7E">
          <w:rPr>
            <w:sz w:val="24"/>
            <w:szCs w:val="24"/>
          </w:rPr>
          <w:fldChar w:fldCharType="begin"/>
        </w:r>
        <w:r w:rsidRPr="00D27D7E">
          <w:rPr>
            <w:sz w:val="24"/>
            <w:szCs w:val="24"/>
          </w:rPr>
          <w:instrText xml:space="preserve"> PAGE   \* MERGEFORMAT </w:instrText>
        </w:r>
        <w:r w:rsidRPr="00D27D7E">
          <w:rPr>
            <w:sz w:val="24"/>
            <w:szCs w:val="24"/>
          </w:rPr>
          <w:fldChar w:fldCharType="separate"/>
        </w:r>
        <w:r w:rsidRPr="00D27D7E">
          <w:rPr>
            <w:noProof/>
            <w:sz w:val="24"/>
            <w:szCs w:val="24"/>
          </w:rPr>
          <w:t>2</w:t>
        </w:r>
        <w:r w:rsidRPr="00D27D7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81F94" w14:textId="77777777" w:rsidR="00AD4FBC" w:rsidRDefault="00AD4FBC" w:rsidP="00AD4FBC">
      <w:pPr>
        <w:spacing w:after="0" w:line="240" w:lineRule="auto"/>
      </w:pPr>
      <w:r>
        <w:separator/>
      </w:r>
    </w:p>
  </w:footnote>
  <w:footnote w:type="continuationSeparator" w:id="0">
    <w:p w14:paraId="7B645A78" w14:textId="77777777" w:rsidR="00AD4FBC" w:rsidRDefault="00AD4FBC" w:rsidP="00AD4FBC">
      <w:pPr>
        <w:spacing w:after="0" w:line="240" w:lineRule="auto"/>
      </w:pPr>
      <w:r>
        <w:continuationSeparator/>
      </w:r>
    </w:p>
  </w:footnote>
  <w:footnote w:id="1">
    <w:p w14:paraId="11CB95F5" w14:textId="147AF90D" w:rsidR="00AD4FBC" w:rsidRPr="00AD4FBC" w:rsidRDefault="00AD4FBC" w:rsidP="00AD4FBC">
      <w:pPr>
        <w:pStyle w:val="FootnoteText"/>
        <w:tabs>
          <w:tab w:val="left" w:pos="284"/>
        </w:tabs>
        <w:rPr>
          <w:lang w:val="en-US"/>
        </w:rPr>
      </w:pPr>
      <w:r>
        <w:rPr>
          <w:rStyle w:val="FootnoteReference"/>
        </w:rPr>
        <w:footnoteRef/>
      </w:r>
      <w:r>
        <w:tab/>
        <w:t>The mid-year estimates do include information on internal migration, based mainly on GP registrations, but this is unlikely to give a full account of changes in population composition (for example, because people don’t necessarily register with a GP immediately on moving, if at 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0F7D"/>
    <w:multiLevelType w:val="hybridMultilevel"/>
    <w:tmpl w:val="2A92A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E54952"/>
    <w:multiLevelType w:val="hybridMultilevel"/>
    <w:tmpl w:val="0C5C9A52"/>
    <w:lvl w:ilvl="0" w:tplc="516E464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3E709F"/>
    <w:multiLevelType w:val="hybridMultilevel"/>
    <w:tmpl w:val="0E2E6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7D"/>
    <w:rsid w:val="00002AAF"/>
    <w:rsid w:val="00010317"/>
    <w:rsid w:val="00015EAD"/>
    <w:rsid w:val="000327E4"/>
    <w:rsid w:val="00043E7D"/>
    <w:rsid w:val="0007729A"/>
    <w:rsid w:val="000852C6"/>
    <w:rsid w:val="00094489"/>
    <w:rsid w:val="000A189A"/>
    <w:rsid w:val="000A3D2C"/>
    <w:rsid w:val="000A5C69"/>
    <w:rsid w:val="000B732E"/>
    <w:rsid w:val="000C25C8"/>
    <w:rsid w:val="000D4902"/>
    <w:rsid w:val="0012184E"/>
    <w:rsid w:val="001237AA"/>
    <w:rsid w:val="00165B05"/>
    <w:rsid w:val="001800F3"/>
    <w:rsid w:val="001921C2"/>
    <w:rsid w:val="0019396F"/>
    <w:rsid w:val="001B1B5E"/>
    <w:rsid w:val="001F13FC"/>
    <w:rsid w:val="0020607D"/>
    <w:rsid w:val="00211A9F"/>
    <w:rsid w:val="0021651D"/>
    <w:rsid w:val="00244315"/>
    <w:rsid w:val="00263C66"/>
    <w:rsid w:val="00276CFF"/>
    <w:rsid w:val="00277F20"/>
    <w:rsid w:val="002A4073"/>
    <w:rsid w:val="002B6DF6"/>
    <w:rsid w:val="002D11DC"/>
    <w:rsid w:val="002F24C7"/>
    <w:rsid w:val="002F46BD"/>
    <w:rsid w:val="00313C8D"/>
    <w:rsid w:val="00337717"/>
    <w:rsid w:val="003C0148"/>
    <w:rsid w:val="003E69C4"/>
    <w:rsid w:val="00412F6C"/>
    <w:rsid w:val="00425C54"/>
    <w:rsid w:val="0045483D"/>
    <w:rsid w:val="0047278F"/>
    <w:rsid w:val="004875F5"/>
    <w:rsid w:val="0053773A"/>
    <w:rsid w:val="005463C0"/>
    <w:rsid w:val="00573E06"/>
    <w:rsid w:val="005753DB"/>
    <w:rsid w:val="005C4B87"/>
    <w:rsid w:val="005D0440"/>
    <w:rsid w:val="005D1E6C"/>
    <w:rsid w:val="005E305C"/>
    <w:rsid w:val="006240FD"/>
    <w:rsid w:val="00642ADC"/>
    <w:rsid w:val="00644DF8"/>
    <w:rsid w:val="00651CA4"/>
    <w:rsid w:val="006B0220"/>
    <w:rsid w:val="006B23B4"/>
    <w:rsid w:val="006B2A81"/>
    <w:rsid w:val="006C4B22"/>
    <w:rsid w:val="006C5B15"/>
    <w:rsid w:val="006C6640"/>
    <w:rsid w:val="006F0E21"/>
    <w:rsid w:val="006F2D78"/>
    <w:rsid w:val="006F34AC"/>
    <w:rsid w:val="006F49A1"/>
    <w:rsid w:val="006F65F4"/>
    <w:rsid w:val="0071032A"/>
    <w:rsid w:val="00710E82"/>
    <w:rsid w:val="00750D4A"/>
    <w:rsid w:val="00765450"/>
    <w:rsid w:val="00765E25"/>
    <w:rsid w:val="00787A65"/>
    <w:rsid w:val="00797D5C"/>
    <w:rsid w:val="007A6E48"/>
    <w:rsid w:val="007E0337"/>
    <w:rsid w:val="007E4062"/>
    <w:rsid w:val="00852A7E"/>
    <w:rsid w:val="00860574"/>
    <w:rsid w:val="008736D2"/>
    <w:rsid w:val="008919F3"/>
    <w:rsid w:val="008A4B38"/>
    <w:rsid w:val="008A64EE"/>
    <w:rsid w:val="008C7B78"/>
    <w:rsid w:val="008D1414"/>
    <w:rsid w:val="008D3091"/>
    <w:rsid w:val="008E0747"/>
    <w:rsid w:val="00901E8E"/>
    <w:rsid w:val="00911F8E"/>
    <w:rsid w:val="00912A99"/>
    <w:rsid w:val="00925299"/>
    <w:rsid w:val="00933C08"/>
    <w:rsid w:val="009346E8"/>
    <w:rsid w:val="00936F50"/>
    <w:rsid w:val="00943DFE"/>
    <w:rsid w:val="00986482"/>
    <w:rsid w:val="009C0772"/>
    <w:rsid w:val="009E28C2"/>
    <w:rsid w:val="00A4090E"/>
    <w:rsid w:val="00A64906"/>
    <w:rsid w:val="00A82943"/>
    <w:rsid w:val="00A87DEB"/>
    <w:rsid w:val="00AD01DF"/>
    <w:rsid w:val="00AD4FBC"/>
    <w:rsid w:val="00AE1B31"/>
    <w:rsid w:val="00AF16FD"/>
    <w:rsid w:val="00B5197B"/>
    <w:rsid w:val="00B6118C"/>
    <w:rsid w:val="00B7470E"/>
    <w:rsid w:val="00BB7D15"/>
    <w:rsid w:val="00BC7B60"/>
    <w:rsid w:val="00BD7D02"/>
    <w:rsid w:val="00BE779F"/>
    <w:rsid w:val="00BF1582"/>
    <w:rsid w:val="00C03FE2"/>
    <w:rsid w:val="00C30E4E"/>
    <w:rsid w:val="00C445C2"/>
    <w:rsid w:val="00C44973"/>
    <w:rsid w:val="00C559F0"/>
    <w:rsid w:val="00CA70C5"/>
    <w:rsid w:val="00CB4F37"/>
    <w:rsid w:val="00D03518"/>
    <w:rsid w:val="00D27D7E"/>
    <w:rsid w:val="00D51443"/>
    <w:rsid w:val="00D63063"/>
    <w:rsid w:val="00D65B88"/>
    <w:rsid w:val="00D97CCC"/>
    <w:rsid w:val="00DA322C"/>
    <w:rsid w:val="00DB3EC5"/>
    <w:rsid w:val="00DD17F6"/>
    <w:rsid w:val="00DE55D9"/>
    <w:rsid w:val="00E315C2"/>
    <w:rsid w:val="00E3459E"/>
    <w:rsid w:val="00E40271"/>
    <w:rsid w:val="00E45391"/>
    <w:rsid w:val="00E4605A"/>
    <w:rsid w:val="00ED181A"/>
    <w:rsid w:val="00ED1AFF"/>
    <w:rsid w:val="00ED301C"/>
    <w:rsid w:val="00EE6659"/>
    <w:rsid w:val="00EF1539"/>
    <w:rsid w:val="00F13AC4"/>
    <w:rsid w:val="00F34895"/>
    <w:rsid w:val="00F47171"/>
    <w:rsid w:val="00F70EE3"/>
    <w:rsid w:val="00F82A71"/>
    <w:rsid w:val="00FD7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5639"/>
  <w15:chartTrackingRefBased/>
  <w15:docId w15:val="{A284B9E7-0162-4D43-972E-E81A21DD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5C"/>
    <w:pPr>
      <w:ind w:left="720"/>
      <w:contextualSpacing/>
    </w:pPr>
  </w:style>
  <w:style w:type="character" w:styleId="CommentReference">
    <w:name w:val="annotation reference"/>
    <w:basedOn w:val="DefaultParagraphFont"/>
    <w:uiPriority w:val="99"/>
    <w:semiHidden/>
    <w:unhideWhenUsed/>
    <w:rsid w:val="00901E8E"/>
    <w:rPr>
      <w:sz w:val="16"/>
      <w:szCs w:val="16"/>
    </w:rPr>
  </w:style>
  <w:style w:type="paragraph" w:styleId="CommentText">
    <w:name w:val="annotation text"/>
    <w:basedOn w:val="Normal"/>
    <w:link w:val="CommentTextChar"/>
    <w:uiPriority w:val="99"/>
    <w:semiHidden/>
    <w:unhideWhenUsed/>
    <w:rsid w:val="00901E8E"/>
    <w:pPr>
      <w:spacing w:line="240" w:lineRule="auto"/>
    </w:pPr>
    <w:rPr>
      <w:sz w:val="20"/>
      <w:szCs w:val="20"/>
    </w:rPr>
  </w:style>
  <w:style w:type="character" w:customStyle="1" w:styleId="CommentTextChar">
    <w:name w:val="Comment Text Char"/>
    <w:basedOn w:val="DefaultParagraphFont"/>
    <w:link w:val="CommentText"/>
    <w:uiPriority w:val="99"/>
    <w:semiHidden/>
    <w:rsid w:val="00901E8E"/>
    <w:rPr>
      <w:sz w:val="20"/>
      <w:szCs w:val="20"/>
    </w:rPr>
  </w:style>
  <w:style w:type="paragraph" w:styleId="CommentSubject">
    <w:name w:val="annotation subject"/>
    <w:basedOn w:val="CommentText"/>
    <w:next w:val="CommentText"/>
    <w:link w:val="CommentSubjectChar"/>
    <w:uiPriority w:val="99"/>
    <w:semiHidden/>
    <w:unhideWhenUsed/>
    <w:rsid w:val="00901E8E"/>
    <w:rPr>
      <w:b/>
      <w:bCs/>
    </w:rPr>
  </w:style>
  <w:style w:type="character" w:customStyle="1" w:styleId="CommentSubjectChar">
    <w:name w:val="Comment Subject Char"/>
    <w:basedOn w:val="CommentTextChar"/>
    <w:link w:val="CommentSubject"/>
    <w:uiPriority w:val="99"/>
    <w:semiHidden/>
    <w:rsid w:val="00901E8E"/>
    <w:rPr>
      <w:b/>
      <w:bCs/>
      <w:sz w:val="20"/>
      <w:szCs w:val="20"/>
    </w:rPr>
  </w:style>
  <w:style w:type="paragraph" w:styleId="BalloonText">
    <w:name w:val="Balloon Text"/>
    <w:basedOn w:val="Normal"/>
    <w:link w:val="BalloonTextChar"/>
    <w:uiPriority w:val="99"/>
    <w:semiHidden/>
    <w:unhideWhenUsed/>
    <w:rsid w:val="00901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8E"/>
    <w:rPr>
      <w:rFonts w:ascii="Segoe UI" w:hAnsi="Segoe UI" w:cs="Segoe UI"/>
      <w:sz w:val="18"/>
      <w:szCs w:val="18"/>
    </w:rPr>
  </w:style>
  <w:style w:type="table" w:styleId="TableGrid">
    <w:name w:val="Table Grid"/>
    <w:basedOn w:val="TableNormal"/>
    <w:uiPriority w:val="39"/>
    <w:rsid w:val="00C4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4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FBC"/>
    <w:rPr>
      <w:sz w:val="20"/>
      <w:szCs w:val="20"/>
    </w:rPr>
  </w:style>
  <w:style w:type="character" w:styleId="FootnoteReference">
    <w:name w:val="footnote reference"/>
    <w:basedOn w:val="DefaultParagraphFont"/>
    <w:uiPriority w:val="99"/>
    <w:semiHidden/>
    <w:unhideWhenUsed/>
    <w:rsid w:val="00AD4FBC"/>
    <w:rPr>
      <w:vertAlign w:val="superscript"/>
    </w:rPr>
  </w:style>
  <w:style w:type="paragraph" w:styleId="Header">
    <w:name w:val="header"/>
    <w:basedOn w:val="Normal"/>
    <w:link w:val="HeaderChar"/>
    <w:uiPriority w:val="99"/>
    <w:unhideWhenUsed/>
    <w:rsid w:val="00D27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7E"/>
  </w:style>
  <w:style w:type="paragraph" w:styleId="Footer">
    <w:name w:val="footer"/>
    <w:basedOn w:val="Normal"/>
    <w:link w:val="FooterChar"/>
    <w:uiPriority w:val="99"/>
    <w:unhideWhenUsed/>
    <w:rsid w:val="00D27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7E"/>
  </w:style>
  <w:style w:type="character" w:styleId="Hyperlink">
    <w:name w:val="Hyperlink"/>
    <w:basedOn w:val="DefaultParagraphFont"/>
    <w:uiPriority w:val="99"/>
    <w:unhideWhenUsed/>
    <w:rsid w:val="00F47171"/>
    <w:rPr>
      <w:color w:val="0563C1" w:themeColor="hyperlink"/>
      <w:u w:val="single"/>
    </w:rPr>
  </w:style>
  <w:style w:type="character" w:styleId="UnresolvedMention">
    <w:name w:val="Unresolved Mention"/>
    <w:basedOn w:val="DefaultParagraphFont"/>
    <w:uiPriority w:val="99"/>
    <w:semiHidden/>
    <w:unhideWhenUsed/>
    <w:rsid w:val="00F47171"/>
    <w:rPr>
      <w:color w:val="605E5C"/>
      <w:shd w:val="clear" w:color="auto" w:fill="E1DFDD"/>
    </w:rPr>
  </w:style>
  <w:style w:type="character" w:styleId="FollowedHyperlink">
    <w:name w:val="FollowedHyperlink"/>
    <w:basedOn w:val="DefaultParagraphFont"/>
    <w:uiPriority w:val="99"/>
    <w:semiHidden/>
    <w:unhideWhenUsed/>
    <w:rsid w:val="00F47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5083">
      <w:bodyDiv w:val="1"/>
      <w:marLeft w:val="0"/>
      <w:marRight w:val="0"/>
      <w:marTop w:val="0"/>
      <w:marBottom w:val="0"/>
      <w:divBdr>
        <w:top w:val="none" w:sz="0" w:space="0" w:color="auto"/>
        <w:left w:val="none" w:sz="0" w:space="0" w:color="auto"/>
        <w:bottom w:val="none" w:sz="0" w:space="0" w:color="auto"/>
        <w:right w:val="none" w:sz="0" w:space="0" w:color="auto"/>
      </w:divBdr>
    </w:div>
    <w:div w:id="264316027">
      <w:bodyDiv w:val="1"/>
      <w:marLeft w:val="0"/>
      <w:marRight w:val="0"/>
      <w:marTop w:val="0"/>
      <w:marBottom w:val="0"/>
      <w:divBdr>
        <w:top w:val="none" w:sz="0" w:space="0" w:color="auto"/>
        <w:left w:val="none" w:sz="0" w:space="0" w:color="auto"/>
        <w:bottom w:val="none" w:sz="0" w:space="0" w:color="auto"/>
        <w:right w:val="none" w:sz="0" w:space="0" w:color="auto"/>
      </w:divBdr>
    </w:div>
    <w:div w:id="715081858">
      <w:bodyDiv w:val="1"/>
      <w:marLeft w:val="0"/>
      <w:marRight w:val="0"/>
      <w:marTop w:val="0"/>
      <w:marBottom w:val="0"/>
      <w:divBdr>
        <w:top w:val="none" w:sz="0" w:space="0" w:color="auto"/>
        <w:left w:val="none" w:sz="0" w:space="0" w:color="auto"/>
        <w:bottom w:val="none" w:sz="0" w:space="0" w:color="auto"/>
        <w:right w:val="none" w:sz="0" w:space="0" w:color="auto"/>
      </w:divBdr>
    </w:div>
    <w:div w:id="757596551">
      <w:bodyDiv w:val="1"/>
      <w:marLeft w:val="0"/>
      <w:marRight w:val="0"/>
      <w:marTop w:val="0"/>
      <w:marBottom w:val="0"/>
      <w:divBdr>
        <w:top w:val="none" w:sz="0" w:space="0" w:color="auto"/>
        <w:left w:val="none" w:sz="0" w:space="0" w:color="auto"/>
        <w:bottom w:val="none" w:sz="0" w:space="0" w:color="auto"/>
        <w:right w:val="none" w:sz="0" w:space="0" w:color="auto"/>
      </w:divBdr>
    </w:div>
    <w:div w:id="8231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hildpoverty.org.uk/wp-content/uploads/2020/05/local-CP-BHC-2014-15-to-18-19-2.xlsx" TargetMode="Externa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hildpoverty.org.uk/wp-content/uploads/2020/05/local-CP-BHC-2014-15-to-18-19-2.xls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ndchildpoverty.org.uk/wp-content/uploads/2020/05/local-CP-BHC-2014-15-to-18-19-2.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childpoverty.org.uk/wp-content/uploads/2020/05/regional-breakdowns-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D700EE2122A4690362C214753F247" ma:contentTypeVersion="10" ma:contentTypeDescription="Create a new document." ma:contentTypeScope="" ma:versionID="5697fb85c93b9f754813980b2ced0b95">
  <xsd:schema xmlns:xsd="http://www.w3.org/2001/XMLSchema" xmlns:xs="http://www.w3.org/2001/XMLSchema" xmlns:p="http://schemas.microsoft.com/office/2006/metadata/properties" xmlns:ns3="1e4e7088-102e-48c8-b207-9967376ae4d3" targetNamespace="http://schemas.microsoft.com/office/2006/metadata/properties" ma:root="true" ma:fieldsID="6432f4eda6a889b35e08e475c1af3288" ns3:_="">
    <xsd:import namespace="1e4e7088-102e-48c8-b207-9967376ae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e7088-102e-48c8-b207-9967376ae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2DE1-11E2-4006-95CB-36E60A8C9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e7088-102e-48c8-b207-9967376ae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E1FE5-FB8A-4C7D-9A13-3BB5259EDF8C}">
  <ds:schemaRefs>
    <ds:schemaRef ds:uri="http://schemas.microsoft.com/sharepoint/v3/contenttype/forms"/>
  </ds:schemaRefs>
</ds:datastoreItem>
</file>

<file path=customXml/itemProps3.xml><?xml version="1.0" encoding="utf-8"?>
<ds:datastoreItem xmlns:ds="http://schemas.openxmlformats.org/officeDocument/2006/customXml" ds:itemID="{6AD1A211-0493-45D6-9923-6DC41ABB24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7F5BF2-9451-4F87-B7ED-8E9FBF24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Hirsch</dc:creator>
  <cp:keywords/>
  <dc:description/>
  <cp:lastModifiedBy>Judith Cavanagh</cp:lastModifiedBy>
  <cp:revision>11</cp:revision>
  <dcterms:created xsi:type="dcterms:W3CDTF">2020-05-14T09:12:00Z</dcterms:created>
  <dcterms:modified xsi:type="dcterms:W3CDTF">2020-05-14T16:38:00Z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0x0101001E9D700EE2122A4690362C214753F247</vt:lpwstr>
  </property>
</Properties>
</file>