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F3" w:rsidRDefault="009A0CF3" w:rsidP="009A0CF3">
      <w:pPr>
        <w:pStyle w:val="NoSpacing"/>
      </w:pPr>
      <w:r>
        <w:rPr>
          <w:noProof/>
          <w:lang w:eastAsia="en-GB"/>
        </w:rPr>
        <w:drawing>
          <wp:inline distT="0" distB="0" distL="0" distR="0">
            <wp:extent cx="2065020" cy="655320"/>
            <wp:effectExtent l="0" t="0" r="0" b="0"/>
            <wp:docPr id="1" name="Picture 1" descr="cid:image002.png@01D6A151.FE776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A151.FE7769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65020" cy="655320"/>
                    </a:xfrm>
                    <a:prstGeom prst="rect">
                      <a:avLst/>
                    </a:prstGeom>
                    <a:noFill/>
                    <a:ln>
                      <a:noFill/>
                    </a:ln>
                  </pic:spPr>
                </pic:pic>
              </a:graphicData>
            </a:graphic>
          </wp:inline>
        </w:drawing>
      </w:r>
    </w:p>
    <w:p w:rsidR="009A0CF3" w:rsidRDefault="009A0CF3" w:rsidP="009A0CF3">
      <w:pPr>
        <w:pStyle w:val="NoSpacing"/>
        <w:rPr>
          <w:sz w:val="28"/>
          <w:szCs w:val="28"/>
        </w:rPr>
      </w:pPr>
      <w:r>
        <w:rPr>
          <w:sz w:val="28"/>
          <w:szCs w:val="28"/>
        </w:rPr>
        <w:t>End Child Poverty members in Scotland</w:t>
      </w:r>
    </w:p>
    <w:p w:rsidR="009A0CF3" w:rsidRDefault="009A0CF3" w:rsidP="009A0CF3">
      <w:pPr>
        <w:pStyle w:val="NoSpacing"/>
        <w:rPr>
          <w:b/>
          <w:bCs/>
          <w:color w:val="FF0000"/>
          <w:sz w:val="28"/>
          <w:szCs w:val="28"/>
        </w:rPr>
      </w:pPr>
      <w:r>
        <w:rPr>
          <w:b/>
          <w:bCs/>
          <w:sz w:val="28"/>
          <w:szCs w:val="28"/>
        </w:rPr>
        <w:t>Media release</w:t>
      </w:r>
      <w:r>
        <w:rPr>
          <w:b/>
          <w:bCs/>
          <w:sz w:val="28"/>
          <w:szCs w:val="28"/>
        </w:rPr>
        <w:br/>
      </w:r>
      <w:r>
        <w:rPr>
          <w:b/>
          <w:bCs/>
          <w:color w:val="FF0000"/>
          <w:sz w:val="28"/>
          <w:szCs w:val="28"/>
        </w:rPr>
        <w:t>Embargoed until: 00:01 14 October 2020</w:t>
      </w:r>
    </w:p>
    <w:p w:rsidR="009A0CF3" w:rsidRDefault="009A0CF3" w:rsidP="009A0CF3">
      <w:pPr>
        <w:pStyle w:val="NoSpacing"/>
      </w:pPr>
    </w:p>
    <w:p w:rsidR="009A0CF3" w:rsidRPr="009A0CF3" w:rsidRDefault="009A0CF3" w:rsidP="009A0CF3">
      <w:pPr>
        <w:pStyle w:val="NCBHeading"/>
        <w:spacing w:line="360" w:lineRule="auto"/>
        <w:jc w:val="center"/>
        <w:rPr>
          <w:sz w:val="36"/>
          <w:szCs w:val="36"/>
        </w:rPr>
      </w:pPr>
      <w:r w:rsidRPr="009A0CF3">
        <w:rPr>
          <w:sz w:val="36"/>
          <w:szCs w:val="36"/>
        </w:rPr>
        <w:t xml:space="preserve">New local child poverty data reveals need to ratchet up action at every level of government </w:t>
      </w:r>
    </w:p>
    <w:p w:rsidR="009A0CF3" w:rsidRDefault="009A0CF3" w:rsidP="009A0CF3">
      <w:pPr>
        <w:pStyle w:val="NCBBulletBody"/>
        <w:numPr>
          <w:ilvl w:val="0"/>
          <w:numId w:val="5"/>
        </w:numPr>
        <w:spacing w:line="360" w:lineRule="auto"/>
        <w:ind w:left="714" w:hanging="357"/>
        <w:rPr>
          <w:b/>
          <w:bCs/>
          <w:sz w:val="28"/>
          <w:szCs w:val="28"/>
        </w:rPr>
      </w:pPr>
      <w:r>
        <w:rPr>
          <w:b/>
          <w:bCs/>
          <w:sz w:val="28"/>
          <w:szCs w:val="28"/>
        </w:rPr>
        <w:t xml:space="preserve">Child poverty rising in nearly every Scottish </w:t>
      </w:r>
      <w:bookmarkStart w:id="0" w:name="_GoBack"/>
      <w:bookmarkEnd w:id="0"/>
      <w:r>
        <w:rPr>
          <w:b/>
          <w:bCs/>
          <w:sz w:val="28"/>
          <w:szCs w:val="28"/>
        </w:rPr>
        <w:t>local authority area</w:t>
      </w:r>
    </w:p>
    <w:p w:rsidR="009A0CF3" w:rsidRDefault="009A0CF3" w:rsidP="009A0CF3">
      <w:pPr>
        <w:pStyle w:val="NCBBulletBody"/>
        <w:numPr>
          <w:ilvl w:val="0"/>
          <w:numId w:val="5"/>
        </w:numPr>
        <w:spacing w:line="360" w:lineRule="auto"/>
        <w:ind w:left="714" w:hanging="357"/>
        <w:rPr>
          <w:b/>
          <w:bCs/>
          <w:sz w:val="28"/>
          <w:szCs w:val="28"/>
        </w:rPr>
      </w:pPr>
      <w:r>
        <w:rPr>
          <w:b/>
          <w:bCs/>
          <w:sz w:val="28"/>
          <w:szCs w:val="28"/>
        </w:rPr>
        <w:t xml:space="preserve">New data reveals impact of housing costs </w:t>
      </w:r>
    </w:p>
    <w:p w:rsidR="009A0CF3" w:rsidRDefault="009A0CF3" w:rsidP="009A0CF3">
      <w:pPr>
        <w:pStyle w:val="NCBBulletBody"/>
        <w:numPr>
          <w:ilvl w:val="0"/>
          <w:numId w:val="5"/>
        </w:numPr>
        <w:spacing w:line="360" w:lineRule="auto"/>
        <w:ind w:left="714" w:hanging="357"/>
        <w:rPr>
          <w:b/>
          <w:bCs/>
          <w:sz w:val="28"/>
          <w:szCs w:val="28"/>
        </w:rPr>
      </w:pPr>
      <w:r>
        <w:rPr>
          <w:b/>
          <w:bCs/>
          <w:sz w:val="28"/>
          <w:szCs w:val="28"/>
        </w:rPr>
        <w:t>Local authority and constituency data available below.</w:t>
      </w:r>
    </w:p>
    <w:p w:rsidR="009A0CF3" w:rsidRDefault="009A0CF3" w:rsidP="009A0CF3">
      <w:pPr>
        <w:pStyle w:val="NCBBulletBody"/>
        <w:numPr>
          <w:ilvl w:val="0"/>
          <w:numId w:val="0"/>
        </w:numPr>
        <w:spacing w:line="360" w:lineRule="auto"/>
        <w:ind w:left="714"/>
        <w:rPr>
          <w:b/>
          <w:bCs/>
        </w:rPr>
      </w:pPr>
    </w:p>
    <w:p w:rsidR="009A0CF3" w:rsidRDefault="009A0CF3" w:rsidP="009A0CF3">
      <w:pPr>
        <w:spacing w:after="100" w:afterAutospacing="1" w:line="360" w:lineRule="auto"/>
        <w:rPr>
          <w:rFonts w:ascii="Century Gothic" w:hAnsi="Century Gothic"/>
        </w:rPr>
      </w:pPr>
      <w:r>
        <w:rPr>
          <w:rFonts w:ascii="Century Gothic" w:hAnsi="Century Gothic"/>
        </w:rPr>
        <w:t xml:space="preserve">Child poverty has risen in nearly every Scottish local authority and Westminster constituency since 2014/15, according to research published today by the End Child Poverty coalition. The new data shows the scale of the challenge faced by UK, Scottish and local government if commitments to end child poverty in Scotland are to be met and the promise to level up opportunities for children across the UK realised.  </w:t>
      </w:r>
    </w:p>
    <w:p w:rsidR="009A0CF3" w:rsidRDefault="009A0CF3" w:rsidP="009A0CF3">
      <w:pPr>
        <w:spacing w:after="100" w:afterAutospacing="1" w:line="360" w:lineRule="auto"/>
        <w:rPr>
          <w:rFonts w:ascii="Century Gothic" w:hAnsi="Century Gothic"/>
        </w:rPr>
      </w:pPr>
      <w:r>
        <w:rPr>
          <w:rFonts w:ascii="Century Gothic" w:hAnsi="Century Gothic"/>
        </w:rPr>
        <w:t>The research by Loughborough University shows that, even before the pandemic, levels of child poverty in Scotland ranged from one in  seven children in the Shetland Islands to nearly one in three in Glasgow, once housing costs are taken into account. The varying impact of housing costs on levels of child poverty in different parts of the country is highlighted.</w:t>
      </w:r>
    </w:p>
    <w:p w:rsidR="009A0CF3" w:rsidRDefault="009A0CF3" w:rsidP="009A0CF3">
      <w:pPr>
        <w:spacing w:after="100" w:afterAutospacing="1" w:line="360" w:lineRule="auto"/>
        <w:rPr>
          <w:rFonts w:ascii="Century Gothic" w:hAnsi="Century Gothic"/>
        </w:rPr>
      </w:pPr>
      <w:r>
        <w:rPr>
          <w:rFonts w:ascii="Century Gothic" w:hAnsi="Century Gothic"/>
        </w:rPr>
        <w:t xml:space="preserve">The data shows London boroughs and parts of Birmingham dominating the list of UK local authorities where child poverty is highest. </w:t>
      </w:r>
    </w:p>
    <w:p w:rsidR="009A0CF3" w:rsidRDefault="009A0CF3" w:rsidP="009A0CF3">
      <w:pPr>
        <w:spacing w:after="100" w:afterAutospacing="1" w:line="360" w:lineRule="auto"/>
        <w:rPr>
          <w:rFonts w:ascii="Century Gothic" w:hAnsi="Century Gothic"/>
        </w:rPr>
      </w:pPr>
      <w:r>
        <w:rPr>
          <w:rFonts w:ascii="Century Gothic" w:hAnsi="Century Gothic"/>
        </w:rPr>
        <w:t xml:space="preserve">However the campaigners say that there can be no room for complacency in Scotland. They highlight that the impact of poverty on children is well documented with children from low income families more likely to experience worse physical and mental health; do less well in school; and have fewer opportunities in the future. </w:t>
      </w:r>
    </w:p>
    <w:p w:rsidR="009A0CF3" w:rsidRDefault="009A0CF3" w:rsidP="009A0CF3">
      <w:pPr>
        <w:spacing w:after="100" w:afterAutospacing="1" w:line="360" w:lineRule="auto"/>
        <w:rPr>
          <w:rFonts w:ascii="Century Gothic" w:hAnsi="Century Gothic"/>
        </w:rPr>
      </w:pPr>
      <w:r>
        <w:rPr>
          <w:rFonts w:ascii="Century Gothic" w:hAnsi="Century Gothic"/>
        </w:rPr>
        <w:t xml:space="preserve">The coalition is calling on the UK Government to recognise the scale of the problem and its impact on children’s lives. They are urging UK Ministers to set out an ambitious plan to </w:t>
      </w:r>
      <w:r>
        <w:rPr>
          <w:rFonts w:ascii="Century Gothic" w:hAnsi="Century Gothic"/>
        </w:rPr>
        <w:lastRenderedPageBreak/>
        <w:t xml:space="preserve">use Westminster powers to tackle child poverty across the UK, and are asking the Holyrood government to build on the Scottish child poverty delivery plan already in place. </w:t>
      </w:r>
    </w:p>
    <w:p w:rsidR="009A0CF3" w:rsidRDefault="009A0CF3" w:rsidP="009A0CF3">
      <w:pPr>
        <w:spacing w:after="100" w:afterAutospacing="1" w:line="360" w:lineRule="auto"/>
        <w:rPr>
          <w:rFonts w:ascii="Century Gothic" w:hAnsi="Century Gothic"/>
        </w:rPr>
      </w:pPr>
      <w:r>
        <w:rPr>
          <w:rFonts w:ascii="Century Gothic" w:hAnsi="Century Gothic"/>
        </w:rPr>
        <w:t>They welcome the new Scottish child payment which will see eligible children under six entitled to £10 per week additional support from February 2021, with all under 16s benefitting by the end of 2022. However they say that just to stop child poverty rising will require a doubling in the value of the new payment, and that families need urgent cash support now to bridge the gap until it’s roll out.</w:t>
      </w:r>
    </w:p>
    <w:p w:rsidR="009A0CF3" w:rsidRDefault="009A0CF3" w:rsidP="009A0CF3">
      <w:pPr>
        <w:spacing w:after="100" w:afterAutospacing="1" w:line="360" w:lineRule="auto"/>
        <w:rPr>
          <w:rFonts w:ascii="Century Gothic" w:hAnsi="Century Gothic"/>
        </w:rPr>
      </w:pPr>
      <w:r>
        <w:rPr>
          <w:rFonts w:ascii="Century Gothic" w:hAnsi="Century Gothic"/>
        </w:rPr>
        <w:t xml:space="preserve">The report is based on data published by the Department for Work and Pensions in March 2020, and on estimates of the effect of housing costs on poverty rates produced by the Centre for Research in Social Policy at Loughborough University, based on survey evidence. Earlier this year, Boris Johnson was rebuked by the statistics watchdog for his repeated misuse of child poverty statistics. The Statistics Authority upheld a complaint from the End Child Poverty coalition judging that on three separate occasions his statements on child poverty were ‘incorrect’. </w:t>
      </w:r>
    </w:p>
    <w:p w:rsidR="009A0CF3" w:rsidRDefault="009A0CF3" w:rsidP="009A0CF3">
      <w:pPr>
        <w:spacing w:after="100" w:afterAutospacing="1" w:line="360" w:lineRule="auto"/>
        <w:rPr>
          <w:rFonts w:ascii="Century Gothic" w:hAnsi="Century Gothic"/>
          <w:u w:val="single"/>
        </w:rPr>
      </w:pPr>
      <w:r>
        <w:rPr>
          <w:rFonts w:ascii="Century Gothic" w:hAnsi="Century Gothic"/>
          <w:u w:val="single"/>
        </w:rPr>
        <w:t>Speaking on behalf of members of End Child Poverty in Scotland, John Dickie, said:</w:t>
      </w:r>
    </w:p>
    <w:p w:rsidR="009A0CF3" w:rsidRDefault="009A0CF3" w:rsidP="009A0CF3">
      <w:pPr>
        <w:spacing w:after="100" w:afterAutospacing="1" w:line="360" w:lineRule="auto"/>
        <w:rPr>
          <w:rFonts w:ascii="Century Gothic" w:hAnsi="Century Gothic"/>
          <w:i/>
          <w:iCs/>
        </w:rPr>
      </w:pPr>
      <w:r>
        <w:rPr>
          <w:rFonts w:ascii="Century Gothic" w:hAnsi="Century Gothic"/>
          <w:i/>
          <w:iCs/>
        </w:rPr>
        <w:t>“The Prime Minister must urgently face up to the true extent of child poverty across the UK rather than resorting to his own inaccurate statistics. An ambitious plan to put this shameful situation right would be transformational for millions of children in Scotland and across the UK. As a matter of urgency we are calling on the Chancellor not to go ahead with planned cuts to Universal Credit which would see families lose out on £1000 a year. Given today’s data, this cut is unconscionable.</w:t>
      </w:r>
    </w:p>
    <w:p w:rsidR="009A0CF3" w:rsidRDefault="009A0CF3" w:rsidP="009A0CF3">
      <w:pPr>
        <w:spacing w:after="100" w:afterAutospacing="1" w:line="360" w:lineRule="auto"/>
        <w:rPr>
          <w:rFonts w:ascii="Century Gothic" w:hAnsi="Century Gothic"/>
        </w:rPr>
      </w:pPr>
      <w:r>
        <w:rPr>
          <w:rFonts w:ascii="Century Gothic" w:hAnsi="Century Gothic"/>
        </w:rPr>
        <w:t>Mr Dickie also called for more action from government in Scotland:</w:t>
      </w:r>
    </w:p>
    <w:p w:rsidR="009A0CF3" w:rsidRDefault="009A0CF3" w:rsidP="009A0CF3">
      <w:pPr>
        <w:spacing w:after="100" w:afterAutospacing="1" w:line="360" w:lineRule="auto"/>
        <w:rPr>
          <w:rFonts w:ascii="Century Gothic" w:hAnsi="Century Gothic"/>
          <w:i/>
          <w:iCs/>
        </w:rPr>
      </w:pPr>
      <w:r>
        <w:rPr>
          <w:rFonts w:ascii="Century Gothic" w:hAnsi="Century Gothic"/>
          <w:i/>
          <w:iCs/>
        </w:rPr>
        <w:t>“Here in Scotland the Holyrood government’s child poverty delivery plan and prioritisation of the new Scottish child payment are hugely welcome. But these new figures highlight the importance of keeping housing costs affordable, the importance of reviewing the value of the Scottish child payment and the urgent need to use existing payment mechanisms, like local authority school clothing grants, to provide extra financial support to families right now.”</w:t>
      </w:r>
    </w:p>
    <w:p w:rsidR="009A0CF3" w:rsidRDefault="009A0CF3" w:rsidP="009A0CF3">
      <w:pPr>
        <w:spacing w:after="100" w:afterAutospacing="1" w:line="360" w:lineRule="auto"/>
        <w:rPr>
          <w:rFonts w:ascii="Century Gothic" w:hAnsi="Century Gothic"/>
        </w:rPr>
      </w:pPr>
      <w:r>
        <w:rPr>
          <w:rFonts w:ascii="Century Gothic" w:hAnsi="Century Gothic"/>
        </w:rPr>
        <w:t>End Child Poverty is calling for an urgent UK Government plan to end child poverty including:</w:t>
      </w:r>
    </w:p>
    <w:p w:rsidR="009A0CF3" w:rsidRDefault="009A0CF3" w:rsidP="009A0CF3">
      <w:pPr>
        <w:pStyle w:val="ListParagraph"/>
        <w:numPr>
          <w:ilvl w:val="0"/>
          <w:numId w:val="7"/>
        </w:numPr>
        <w:spacing w:after="100" w:afterAutospacing="1" w:line="360" w:lineRule="auto"/>
        <w:rPr>
          <w:rFonts w:ascii="Century Gothic" w:hAnsi="Century Gothic"/>
        </w:rPr>
      </w:pPr>
      <w:r>
        <w:rPr>
          <w:rFonts w:ascii="Century Gothic" w:hAnsi="Century Gothic"/>
        </w:rPr>
        <w:lastRenderedPageBreak/>
        <w:t>Uprating of housing assistance in line with inflation;</w:t>
      </w:r>
    </w:p>
    <w:p w:rsidR="009A0CF3" w:rsidRDefault="009A0CF3" w:rsidP="009A0CF3">
      <w:pPr>
        <w:pStyle w:val="ListParagraph"/>
        <w:numPr>
          <w:ilvl w:val="0"/>
          <w:numId w:val="7"/>
        </w:numPr>
        <w:spacing w:after="100" w:afterAutospacing="1" w:line="360" w:lineRule="auto"/>
        <w:rPr>
          <w:rFonts w:ascii="Century Gothic" w:hAnsi="Century Gothic"/>
        </w:rPr>
      </w:pPr>
      <w:r>
        <w:rPr>
          <w:rFonts w:ascii="Century Gothic" w:hAnsi="Century Gothic"/>
        </w:rPr>
        <w:t xml:space="preserve">Retaining the £20 uplift in Universal Credit introduced at the start of the pandemic, which the Government has indicated will end in April 2021(retaining the uplift is supported by over 63k people who have signed a </w:t>
      </w:r>
      <w:hyperlink r:id="rId7" w:history="1">
        <w:r>
          <w:rPr>
            <w:rStyle w:val="Hyperlink"/>
            <w:rFonts w:ascii="Century Gothic" w:hAnsi="Century Gothic"/>
          </w:rPr>
          <w:t>petition</w:t>
        </w:r>
      </w:hyperlink>
      <w:r>
        <w:rPr>
          <w:rFonts w:ascii="Century Gothic" w:hAnsi="Century Gothic"/>
        </w:rPr>
        <w:t xml:space="preserve"> to the UK Government);</w:t>
      </w:r>
    </w:p>
    <w:p w:rsidR="009A0CF3" w:rsidRDefault="009A0CF3" w:rsidP="009A0CF3">
      <w:pPr>
        <w:pStyle w:val="ListParagraph"/>
        <w:numPr>
          <w:ilvl w:val="0"/>
          <w:numId w:val="7"/>
        </w:numPr>
        <w:spacing w:after="100" w:afterAutospacing="1" w:line="360" w:lineRule="auto"/>
        <w:rPr>
          <w:rFonts w:ascii="Century Gothic" w:hAnsi="Century Gothic"/>
        </w:rPr>
      </w:pPr>
      <w:r>
        <w:rPr>
          <w:rFonts w:ascii="Century Gothic" w:hAnsi="Century Gothic"/>
        </w:rPr>
        <w:t>Ending the benefit cap and the two-child limit on benefits;</w:t>
      </w:r>
    </w:p>
    <w:p w:rsidR="009A0CF3" w:rsidRDefault="009A0CF3" w:rsidP="009A0CF3">
      <w:pPr>
        <w:pStyle w:val="ListParagraph"/>
        <w:numPr>
          <w:ilvl w:val="0"/>
          <w:numId w:val="7"/>
        </w:numPr>
        <w:spacing w:after="100" w:afterAutospacing="1" w:line="360" w:lineRule="auto"/>
        <w:rPr>
          <w:rFonts w:ascii="Century Gothic" w:hAnsi="Century Gothic"/>
        </w:rPr>
      </w:pPr>
      <w:r>
        <w:rPr>
          <w:rFonts w:ascii="Century Gothic" w:hAnsi="Century Gothic"/>
        </w:rPr>
        <w:t>Investing in all children with an increase to child benefit</w:t>
      </w:r>
    </w:p>
    <w:p w:rsidR="009A0CF3" w:rsidRDefault="009A0CF3" w:rsidP="009A0CF3">
      <w:pPr>
        <w:spacing w:after="0" w:line="240" w:lineRule="auto"/>
        <w:contextualSpacing/>
        <w:rPr>
          <w:rFonts w:ascii="Cera Pro" w:hAnsi="Cera Pro"/>
          <w:b/>
          <w:bCs/>
          <w:color w:val="1B1464"/>
          <w:sz w:val="28"/>
          <w:szCs w:val="28"/>
        </w:rPr>
      </w:pPr>
      <w:r>
        <w:rPr>
          <w:rFonts w:ascii="Century Gothic" w:hAnsi="Century Gothic"/>
          <w:b/>
          <w:bCs/>
          <w:i/>
          <w:iCs/>
        </w:rPr>
        <w:t xml:space="preserve">The full </w:t>
      </w:r>
      <w:hyperlink r:id="rId8" w:history="1">
        <w:r>
          <w:rPr>
            <w:rStyle w:val="Hyperlink"/>
            <w:rFonts w:ascii="Century Gothic" w:hAnsi="Century Gothic"/>
            <w:b/>
            <w:bCs/>
          </w:rPr>
          <w:t>report</w:t>
        </w:r>
      </w:hyperlink>
      <w:r>
        <w:rPr>
          <w:rFonts w:ascii="Century Gothic" w:hAnsi="Century Gothic"/>
          <w:b/>
          <w:bCs/>
          <w:i/>
          <w:iCs/>
        </w:rPr>
        <w:t xml:space="preserve"> ‘Local indicators of child poverty after housing costs, 2018/19’, as well as tables with local </w:t>
      </w:r>
      <w:hyperlink r:id="rId9" w:history="1">
        <w:r>
          <w:rPr>
            <w:rStyle w:val="Hyperlink"/>
            <w:rFonts w:ascii="Century Gothic" w:hAnsi="Century Gothic"/>
            <w:b/>
            <w:bCs/>
          </w:rPr>
          <w:t>data</w:t>
        </w:r>
      </w:hyperlink>
      <w:r>
        <w:rPr>
          <w:rFonts w:ascii="Century Gothic" w:hAnsi="Century Gothic"/>
          <w:b/>
          <w:bCs/>
          <w:i/>
          <w:iCs/>
        </w:rPr>
        <w:t xml:space="preserve">, are available at: </w:t>
      </w:r>
      <w:hyperlink r:id="rId10" w:history="1">
        <w:r>
          <w:rPr>
            <w:rStyle w:val="Hyperlink"/>
            <w:rFonts w:ascii="Century Gothic" w:hAnsi="Century Gothic"/>
            <w:b/>
            <w:bCs/>
            <w:i/>
            <w:iCs/>
            <w:color w:val="auto"/>
          </w:rPr>
          <w:t>www.endchildpoverty.org.uk</w:t>
        </w:r>
      </w:hyperlink>
      <w:r>
        <w:rPr>
          <w:rFonts w:ascii="Cera Pro" w:hAnsi="Cera Pro"/>
          <w:b/>
          <w:bCs/>
          <w:color w:val="1B1464"/>
          <w:sz w:val="28"/>
          <w:szCs w:val="28"/>
        </w:rPr>
        <w:t xml:space="preserve">  </w:t>
      </w:r>
    </w:p>
    <w:tbl>
      <w:tblPr>
        <w:tblW w:w="8931" w:type="dxa"/>
        <w:tblCellMar>
          <w:left w:w="0" w:type="dxa"/>
          <w:right w:w="0" w:type="dxa"/>
        </w:tblCellMar>
        <w:tblLook w:val="04A0" w:firstRow="1" w:lastRow="0" w:firstColumn="1" w:lastColumn="0" w:noHBand="0" w:noVBand="1"/>
      </w:tblPr>
      <w:tblGrid>
        <w:gridCol w:w="2882"/>
        <w:gridCol w:w="1090"/>
        <w:gridCol w:w="1090"/>
        <w:gridCol w:w="1090"/>
        <w:gridCol w:w="1090"/>
        <w:gridCol w:w="1689"/>
      </w:tblGrid>
      <w:tr w:rsidR="009A0CF3" w:rsidTr="009A0CF3">
        <w:trPr>
          <w:trHeight w:val="312"/>
        </w:trPr>
        <w:tc>
          <w:tcPr>
            <w:tcW w:w="8931" w:type="dxa"/>
            <w:gridSpan w:val="6"/>
            <w:noWrap/>
            <w:tcMar>
              <w:top w:w="0" w:type="dxa"/>
              <w:left w:w="108" w:type="dxa"/>
              <w:bottom w:w="0" w:type="dxa"/>
              <w:right w:w="108" w:type="dxa"/>
            </w:tcMar>
            <w:vAlign w:val="bottom"/>
          </w:tcPr>
          <w:p w:rsidR="009A0CF3" w:rsidRDefault="009A0CF3">
            <w:pPr>
              <w:spacing w:after="0" w:line="240" w:lineRule="auto"/>
              <w:rPr>
                <w:rFonts w:ascii="Arial" w:hAnsi="Arial" w:cs="Arial"/>
                <w:b/>
                <w:bCs/>
                <w:sz w:val="24"/>
                <w:szCs w:val="24"/>
                <w:lang w:eastAsia="en-GB"/>
              </w:rPr>
            </w:pPr>
          </w:p>
          <w:p w:rsidR="009A0CF3" w:rsidRDefault="009A0CF3">
            <w:pPr>
              <w:spacing w:after="0" w:line="240" w:lineRule="auto"/>
              <w:rPr>
                <w:rFonts w:ascii="Arial" w:hAnsi="Arial" w:cs="Arial"/>
                <w:b/>
                <w:bCs/>
                <w:sz w:val="24"/>
                <w:szCs w:val="24"/>
                <w:lang w:eastAsia="en-GB"/>
              </w:rPr>
            </w:pPr>
            <w:r>
              <w:rPr>
                <w:rFonts w:ascii="Arial" w:hAnsi="Arial" w:cs="Arial"/>
                <w:b/>
                <w:bCs/>
                <w:sz w:val="24"/>
                <w:szCs w:val="24"/>
                <w:lang w:eastAsia="en-GB"/>
              </w:rPr>
              <w:t>Children living in poverty, below 60% median income after housing costs, by Scottish local authority</w:t>
            </w:r>
          </w:p>
        </w:tc>
      </w:tr>
      <w:tr w:rsidR="009A0CF3" w:rsidTr="009A0CF3">
        <w:trPr>
          <w:trHeight w:val="264"/>
        </w:trPr>
        <w:tc>
          <w:tcPr>
            <w:tcW w:w="2882" w:type="dxa"/>
            <w:noWrap/>
            <w:tcMar>
              <w:top w:w="0" w:type="dxa"/>
              <w:left w:w="108" w:type="dxa"/>
              <w:bottom w:w="0" w:type="dxa"/>
              <w:right w:w="108" w:type="dxa"/>
            </w:tcMar>
            <w:vAlign w:val="bottom"/>
            <w:hideMark/>
          </w:tcPr>
          <w:p w:rsidR="009A0CF3" w:rsidRDefault="009A0CF3">
            <w:pPr>
              <w:rPr>
                <w:rFonts w:ascii="Arial" w:hAnsi="Arial" w:cs="Arial"/>
                <w:b/>
                <w:bCs/>
                <w:sz w:val="24"/>
                <w:szCs w:val="24"/>
                <w:lang w:eastAsia="en-GB"/>
              </w:rPr>
            </w:pPr>
          </w:p>
        </w:tc>
        <w:tc>
          <w:tcPr>
            <w:tcW w:w="1090"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090"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090"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090"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689"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r>
      <w:tr w:rsidR="009A0CF3" w:rsidTr="009A0CF3">
        <w:trPr>
          <w:trHeight w:val="288"/>
        </w:trPr>
        <w:tc>
          <w:tcPr>
            <w:tcW w:w="2882" w:type="dxa"/>
            <w:vMerge w:val="restart"/>
            <w:tcBorders>
              <w:top w:val="nil"/>
              <w:left w:val="single" w:sz="8" w:space="0" w:color="auto"/>
              <w:bottom w:val="single" w:sz="8" w:space="0" w:color="000000"/>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Local authority</w:t>
            </w:r>
          </w:p>
        </w:tc>
        <w:tc>
          <w:tcPr>
            <w:tcW w:w="2180" w:type="dxa"/>
            <w:gridSpan w:val="2"/>
            <w:tcBorders>
              <w:top w:val="nil"/>
              <w:left w:val="single" w:sz="8" w:space="0" w:color="auto"/>
              <w:bottom w:val="nil"/>
              <w:right w:val="single" w:sz="8" w:space="0" w:color="000000"/>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i/>
                <w:iCs/>
                <w:color w:val="000000"/>
                <w:sz w:val="22"/>
                <w:szCs w:val="22"/>
                <w:lang w:eastAsia="en-GB"/>
              </w:rPr>
            </w:pPr>
            <w:r>
              <w:rPr>
                <w:b/>
                <w:bCs/>
                <w:i/>
                <w:iCs/>
                <w:color w:val="000000"/>
                <w:sz w:val="22"/>
                <w:szCs w:val="22"/>
                <w:lang w:eastAsia="en-GB"/>
              </w:rPr>
              <w:t>Number</w:t>
            </w:r>
          </w:p>
        </w:tc>
        <w:tc>
          <w:tcPr>
            <w:tcW w:w="2180" w:type="dxa"/>
            <w:gridSpan w:val="2"/>
            <w:tcBorders>
              <w:top w:val="nil"/>
              <w:left w:val="nil"/>
              <w:bottom w:val="nil"/>
              <w:right w:val="single" w:sz="8" w:space="0" w:color="000000"/>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i/>
                <w:iCs/>
                <w:color w:val="000000"/>
                <w:sz w:val="22"/>
                <w:szCs w:val="22"/>
                <w:lang w:eastAsia="en-GB"/>
              </w:rPr>
            </w:pPr>
            <w:r>
              <w:rPr>
                <w:b/>
                <w:bCs/>
                <w:i/>
                <w:iCs/>
                <w:color w:val="000000"/>
                <w:sz w:val="22"/>
                <w:szCs w:val="22"/>
                <w:lang w:eastAsia="en-GB"/>
              </w:rPr>
              <w:t>Percentage</w:t>
            </w:r>
          </w:p>
        </w:tc>
        <w:tc>
          <w:tcPr>
            <w:tcW w:w="1689" w:type="dxa"/>
            <w:vMerge w:val="restart"/>
            <w:tcBorders>
              <w:top w:val="nil"/>
              <w:left w:val="nil"/>
              <w:bottom w:val="single" w:sz="8" w:space="0" w:color="000000"/>
              <w:right w:val="single" w:sz="8" w:space="0" w:color="auto"/>
            </w:tcBorders>
            <w:shd w:val="clear" w:color="auto" w:fill="FFCCFF"/>
            <w:tcMar>
              <w:top w:w="0" w:type="dxa"/>
              <w:left w:w="108" w:type="dxa"/>
              <w:bottom w:w="0" w:type="dxa"/>
              <w:right w:w="108" w:type="dxa"/>
            </w:tcMar>
            <w:vAlign w:val="bottom"/>
            <w:hideMark/>
          </w:tcPr>
          <w:p w:rsidR="009A0CF3" w:rsidRDefault="009A0CF3">
            <w:pPr>
              <w:spacing w:after="0" w:line="240" w:lineRule="auto"/>
              <w:rPr>
                <w:b/>
                <w:bCs/>
                <w:sz w:val="22"/>
                <w:szCs w:val="22"/>
                <w:lang w:eastAsia="en-GB"/>
              </w:rPr>
            </w:pPr>
            <w:r>
              <w:rPr>
                <w:b/>
                <w:bCs/>
                <w:sz w:val="22"/>
                <w:szCs w:val="22"/>
                <w:lang w:eastAsia="en-GB"/>
              </w:rPr>
              <w:t>Percentage point change (2015-19)</w:t>
            </w:r>
          </w:p>
        </w:tc>
      </w:tr>
      <w:tr w:rsidR="009A0CF3" w:rsidTr="009A0CF3">
        <w:trPr>
          <w:trHeight w:val="288"/>
        </w:trPr>
        <w:tc>
          <w:tcPr>
            <w:tcW w:w="0" w:type="auto"/>
            <w:vMerge/>
            <w:tcBorders>
              <w:top w:val="nil"/>
              <w:left w:val="single" w:sz="8" w:space="0" w:color="auto"/>
              <w:bottom w:val="single" w:sz="8" w:space="0" w:color="000000"/>
              <w:right w:val="nil"/>
            </w:tcBorders>
            <w:vAlign w:val="center"/>
            <w:hideMark/>
          </w:tcPr>
          <w:p w:rsidR="009A0CF3" w:rsidRDefault="009A0CF3">
            <w:pPr>
              <w:spacing w:after="0" w:line="240" w:lineRule="auto"/>
              <w:rPr>
                <w:b/>
                <w:bCs/>
                <w:color w:val="000000"/>
                <w:sz w:val="22"/>
                <w:szCs w:val="22"/>
                <w:lang w:eastAsia="en-GB"/>
              </w:rPr>
            </w:pPr>
          </w:p>
        </w:tc>
        <w:tc>
          <w:tcPr>
            <w:tcW w:w="1090" w:type="dxa"/>
            <w:tcBorders>
              <w:top w:val="nil"/>
              <w:left w:val="single" w:sz="8" w:space="0" w:color="auto"/>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2014/15</w:t>
            </w:r>
          </w:p>
        </w:tc>
        <w:tc>
          <w:tcPr>
            <w:tcW w:w="1090" w:type="dxa"/>
            <w:tcBorders>
              <w:top w:val="nil"/>
              <w:left w:val="nil"/>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2018/19</w:t>
            </w:r>
          </w:p>
        </w:tc>
        <w:tc>
          <w:tcPr>
            <w:tcW w:w="1090" w:type="dxa"/>
            <w:tcBorders>
              <w:top w:val="nil"/>
              <w:left w:val="single" w:sz="8" w:space="0" w:color="auto"/>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2014/15</w:t>
            </w:r>
          </w:p>
        </w:tc>
        <w:tc>
          <w:tcPr>
            <w:tcW w:w="1090" w:type="dxa"/>
            <w:tcBorders>
              <w:top w:val="nil"/>
              <w:left w:val="nil"/>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2018/19</w:t>
            </w:r>
          </w:p>
        </w:tc>
        <w:tc>
          <w:tcPr>
            <w:tcW w:w="0" w:type="auto"/>
            <w:vMerge/>
            <w:tcBorders>
              <w:top w:val="nil"/>
              <w:left w:val="nil"/>
              <w:bottom w:val="single" w:sz="8" w:space="0" w:color="000000"/>
              <w:right w:val="single" w:sz="8" w:space="0" w:color="auto"/>
            </w:tcBorders>
            <w:vAlign w:val="center"/>
            <w:hideMark/>
          </w:tcPr>
          <w:p w:rsidR="009A0CF3" w:rsidRDefault="009A0CF3">
            <w:pPr>
              <w:spacing w:after="0" w:line="240" w:lineRule="auto"/>
              <w:rPr>
                <w:b/>
                <w:bCs/>
                <w:sz w:val="22"/>
                <w:szCs w:val="22"/>
                <w:lang w:eastAsia="en-GB"/>
              </w:rPr>
            </w:pP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Aberdeen City</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6439</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7471</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21.5%</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Aberdeenshire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7622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7938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15.6%</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16.1%</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0.5</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Angus</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4253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4608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21.6%</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24.0%</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Argyll and Bute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2876</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3056</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23.4%</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City of Edinburgh</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14145</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15295</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19.5%</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0.7</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Clackmannanshire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2250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2409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26.8%</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Dumfries and Galloway</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5610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6141</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23.4%</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26.2%</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Dundee City</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5812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6540</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24.5%</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27.3%</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Ayrshire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5250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5899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27.9%</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Dunbartonshire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2899</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3109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15.7%</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16.1%</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0.5</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Lothian</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4188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4489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23.3%</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1.0</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Renfrewshire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2791</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2940</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15.4%</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15.2%</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-0.2</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Falkirk</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6555</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6929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23.1%</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24.5%</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Fife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15390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16993</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26.3%</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City</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26146</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31823</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31.8%</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Highland</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8637</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9054</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21.5%</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23.0%</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Inverclyde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2904</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3013</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22.1%</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23.8%</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Midlothian</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3713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4068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23.2%</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0.4</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Moray</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3480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3617</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22.4%</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Na h-</w:t>
            </w:r>
            <w:proofErr w:type="spellStart"/>
            <w:r>
              <w:rPr>
                <w:rFonts w:ascii="Arial" w:hAnsi="Arial" w:cs="Arial"/>
                <w:sz w:val="20"/>
                <w:szCs w:val="20"/>
                <w:lang w:eastAsia="en-GB"/>
              </w:rPr>
              <w:t>Eileanan</w:t>
            </w:r>
            <w:proofErr w:type="spellEnd"/>
            <w:r>
              <w:rPr>
                <w:rFonts w:ascii="Arial" w:hAnsi="Arial" w:cs="Arial"/>
                <w:sz w:val="20"/>
                <w:szCs w:val="20"/>
                <w:lang w:eastAsia="en-GB"/>
              </w:rPr>
              <w:t xml:space="preserve"> </w:t>
            </w:r>
            <w:proofErr w:type="spellStart"/>
            <w:r>
              <w:rPr>
                <w:rFonts w:ascii="Arial" w:hAnsi="Arial" w:cs="Arial"/>
                <w:sz w:val="20"/>
                <w:szCs w:val="20"/>
                <w:lang w:eastAsia="en-GB"/>
              </w:rPr>
              <w:t>Siar</w:t>
            </w:r>
            <w:proofErr w:type="spellEnd"/>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768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847</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19.5%</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North Ayrshire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5895</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6448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28.3%</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North Lanarkshire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15503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16528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24.4%</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26.2%</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Orkney Islands</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691</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779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21.9%</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Perth and Kinross</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5013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5403</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20.4%</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22.2%</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Renfrewshire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6083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6958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23.0%</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Scottish Borders</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4132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4544</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21.6%</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23.9%</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Shetland Islands</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549</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608</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12.8%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14.4%</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South Ayrshire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4167</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4404</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25.0%</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South Lanarkshire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12083</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12799</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22.0%</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23.2%</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1.2</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Stirling</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3168</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3285</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20.5%</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21.3%</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West Dunbartonshire</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3861</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4310</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24.6%</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27.4%</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64"/>
        </w:trPr>
        <w:tc>
          <w:tcPr>
            <w:tcW w:w="2882"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lastRenderedPageBreak/>
              <w:t>West Lothian</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7632</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8380</w:t>
            </w:r>
          </w:p>
        </w:tc>
        <w:tc>
          <w:tcPr>
            <w:tcW w:w="1090"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21.7%</w:t>
            </w:r>
          </w:p>
        </w:tc>
        <w:tc>
          <w:tcPr>
            <w:tcW w:w="1090"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23.7%</w:t>
            </w:r>
          </w:p>
        </w:tc>
        <w:tc>
          <w:tcPr>
            <w:tcW w:w="168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w:t>
            </w:r>
          </w:p>
        </w:tc>
      </w:tr>
    </w:tbl>
    <w:p w:rsidR="009A0CF3" w:rsidRDefault="009A0CF3" w:rsidP="009A0CF3">
      <w:pPr>
        <w:pStyle w:val="NCBBody"/>
        <w:rPr>
          <w:rFonts w:ascii="Century Gothic" w:hAnsi="Century Gothic" w:cs="Times New Roman"/>
          <w:sz w:val="21"/>
          <w:szCs w:val="21"/>
        </w:rPr>
      </w:pPr>
    </w:p>
    <w:p w:rsidR="009A0CF3" w:rsidRDefault="009A0CF3" w:rsidP="009A0CF3">
      <w:pPr>
        <w:pStyle w:val="NCBBody"/>
        <w:rPr>
          <w:rFonts w:ascii="Century Gothic" w:eastAsia="Times New Roman" w:hAnsi="Century Gothic"/>
          <w:sz w:val="21"/>
          <w:szCs w:val="21"/>
          <w:lang w:eastAsia="en-GB"/>
        </w:rPr>
      </w:pPr>
    </w:p>
    <w:tbl>
      <w:tblPr>
        <w:tblW w:w="8240" w:type="dxa"/>
        <w:tblCellMar>
          <w:left w:w="0" w:type="dxa"/>
          <w:right w:w="0" w:type="dxa"/>
        </w:tblCellMar>
        <w:tblLook w:val="04A0" w:firstRow="1" w:lastRow="0" w:firstColumn="1" w:lastColumn="0" w:noHBand="0" w:noVBand="1"/>
      </w:tblPr>
      <w:tblGrid>
        <w:gridCol w:w="2666"/>
        <w:gridCol w:w="1219"/>
        <w:gridCol w:w="1097"/>
        <w:gridCol w:w="3258"/>
      </w:tblGrid>
      <w:tr w:rsidR="009A0CF3" w:rsidTr="009A0CF3">
        <w:trPr>
          <w:trHeight w:val="312"/>
        </w:trPr>
        <w:tc>
          <w:tcPr>
            <w:tcW w:w="8240" w:type="dxa"/>
            <w:gridSpan w:val="4"/>
            <w:noWrap/>
            <w:tcMar>
              <w:top w:w="0" w:type="dxa"/>
              <w:left w:w="108" w:type="dxa"/>
              <w:bottom w:w="0" w:type="dxa"/>
              <w:right w:w="108" w:type="dxa"/>
            </w:tcMar>
            <w:vAlign w:val="bottom"/>
            <w:hideMark/>
          </w:tcPr>
          <w:p w:rsidR="009A0CF3" w:rsidRDefault="009A0CF3">
            <w:pPr>
              <w:spacing w:after="0" w:line="240" w:lineRule="auto"/>
              <w:rPr>
                <w:rFonts w:ascii="Arial" w:hAnsi="Arial" w:cs="Arial"/>
                <w:b/>
                <w:bCs/>
                <w:color w:val="000000"/>
                <w:sz w:val="24"/>
                <w:szCs w:val="24"/>
                <w:lang w:eastAsia="en-GB"/>
              </w:rPr>
            </w:pPr>
            <w:r>
              <w:rPr>
                <w:rFonts w:ascii="Arial" w:hAnsi="Arial" w:cs="Arial"/>
                <w:b/>
                <w:bCs/>
                <w:color w:val="000000"/>
                <w:sz w:val="24"/>
                <w:szCs w:val="24"/>
                <w:lang w:eastAsia="en-GB"/>
              </w:rPr>
              <w:t>Child poverty, % of children below 60% median income, before (BHC) and after (AHC) housing costs, by Scottish local authority</w:t>
            </w:r>
          </w:p>
        </w:tc>
      </w:tr>
      <w:tr w:rsidR="009A0CF3" w:rsidTr="009A0CF3">
        <w:trPr>
          <w:trHeight w:val="312"/>
        </w:trPr>
        <w:tc>
          <w:tcPr>
            <w:tcW w:w="2666" w:type="dxa"/>
            <w:noWrap/>
            <w:tcMar>
              <w:top w:w="0" w:type="dxa"/>
              <w:left w:w="108" w:type="dxa"/>
              <w:bottom w:w="0" w:type="dxa"/>
              <w:right w:w="108" w:type="dxa"/>
            </w:tcMar>
            <w:vAlign w:val="bottom"/>
            <w:hideMark/>
          </w:tcPr>
          <w:p w:rsidR="009A0CF3" w:rsidRDefault="009A0CF3">
            <w:pPr>
              <w:rPr>
                <w:rFonts w:ascii="Arial" w:hAnsi="Arial" w:cs="Arial"/>
                <w:b/>
                <w:bCs/>
                <w:color w:val="000000"/>
                <w:sz w:val="24"/>
                <w:szCs w:val="24"/>
                <w:lang w:eastAsia="en-GB"/>
              </w:rPr>
            </w:pPr>
          </w:p>
        </w:tc>
        <w:tc>
          <w:tcPr>
            <w:tcW w:w="1219"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097"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3258"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219" w:type="dxa"/>
            <w:noWrap/>
            <w:tcMar>
              <w:top w:w="0" w:type="dxa"/>
              <w:left w:w="108" w:type="dxa"/>
              <w:bottom w:w="0" w:type="dxa"/>
              <w:right w:w="108" w:type="dxa"/>
            </w:tcMar>
            <w:hideMark/>
          </w:tcPr>
          <w:p w:rsidR="009A0CF3" w:rsidRDefault="009A0CF3">
            <w:pPr>
              <w:spacing w:after="0" w:line="240" w:lineRule="auto"/>
              <w:jc w:val="center"/>
              <w:rPr>
                <w:b/>
                <w:bCs/>
                <w:color w:val="000000"/>
                <w:sz w:val="22"/>
                <w:szCs w:val="22"/>
                <w:lang w:eastAsia="en-GB"/>
              </w:rPr>
            </w:pPr>
            <w:r>
              <w:rPr>
                <w:b/>
                <w:bCs/>
                <w:color w:val="000000"/>
                <w:sz w:val="22"/>
                <w:szCs w:val="22"/>
                <w:lang w:eastAsia="en-GB"/>
              </w:rPr>
              <w:t>2018/19</w:t>
            </w:r>
          </w:p>
        </w:tc>
        <w:tc>
          <w:tcPr>
            <w:tcW w:w="1097" w:type="dxa"/>
            <w:tcBorders>
              <w:top w:val="nil"/>
              <w:left w:val="nil"/>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sz w:val="22"/>
                <w:szCs w:val="22"/>
                <w:lang w:eastAsia="en-GB"/>
              </w:rPr>
            </w:pPr>
            <w:r>
              <w:rPr>
                <w:b/>
                <w:bCs/>
                <w:sz w:val="22"/>
                <w:szCs w:val="22"/>
                <w:lang w:eastAsia="en-GB"/>
              </w:rPr>
              <w:t>2018/19</w:t>
            </w:r>
          </w:p>
        </w:tc>
        <w:tc>
          <w:tcPr>
            <w:tcW w:w="3258" w:type="dxa"/>
            <w:noWrap/>
            <w:tcMar>
              <w:top w:w="0" w:type="dxa"/>
              <w:left w:w="108" w:type="dxa"/>
              <w:bottom w:w="0" w:type="dxa"/>
              <w:right w:w="108" w:type="dxa"/>
            </w:tcMar>
            <w:vAlign w:val="bottom"/>
          </w:tcPr>
          <w:p w:rsidR="009A0CF3" w:rsidRDefault="009A0CF3">
            <w:pPr>
              <w:spacing w:after="0" w:line="240" w:lineRule="auto"/>
              <w:rPr>
                <w:b/>
                <w:bCs/>
                <w:color w:val="000000"/>
                <w:sz w:val="22"/>
                <w:szCs w:val="22"/>
                <w:lang w:eastAsia="en-GB"/>
              </w:rPr>
            </w:pP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rPr>
                <w:b/>
                <w:bCs/>
                <w:color w:val="000000"/>
                <w:sz w:val="22"/>
                <w:szCs w:val="22"/>
                <w:lang w:eastAsia="en-GB"/>
              </w:rPr>
            </w:pPr>
          </w:p>
        </w:tc>
        <w:tc>
          <w:tcPr>
            <w:tcW w:w="1219" w:type="dxa"/>
            <w:noWrap/>
            <w:tcMar>
              <w:top w:w="0" w:type="dxa"/>
              <w:left w:w="108" w:type="dxa"/>
              <w:bottom w:w="0" w:type="dxa"/>
              <w:right w:w="108" w:type="dxa"/>
            </w:tcMar>
            <w:vAlign w:val="bottom"/>
            <w:hideMark/>
          </w:tcPr>
          <w:p w:rsidR="009A0CF3" w:rsidRDefault="009A0CF3">
            <w:pPr>
              <w:spacing w:after="0" w:line="240" w:lineRule="auto"/>
              <w:jc w:val="center"/>
              <w:rPr>
                <w:rFonts w:ascii="Arial" w:hAnsi="Arial" w:cs="Arial"/>
                <w:b/>
                <w:bCs/>
                <w:sz w:val="20"/>
                <w:szCs w:val="20"/>
                <w:lang w:eastAsia="en-GB"/>
              </w:rPr>
            </w:pPr>
            <w:r>
              <w:rPr>
                <w:rFonts w:ascii="Arial" w:hAnsi="Arial" w:cs="Arial"/>
                <w:b/>
                <w:bCs/>
                <w:sz w:val="20"/>
                <w:szCs w:val="20"/>
                <w:lang w:eastAsia="en-GB"/>
              </w:rPr>
              <w:t>BHC</w:t>
            </w:r>
          </w:p>
        </w:tc>
        <w:tc>
          <w:tcPr>
            <w:tcW w:w="1097" w:type="dxa"/>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         AHC</w:t>
            </w:r>
          </w:p>
        </w:tc>
        <w:tc>
          <w:tcPr>
            <w:tcW w:w="3258" w:type="dxa"/>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 xml:space="preserve">percentage point difference </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rPr>
                <w:b/>
                <w:bCs/>
                <w:color w:val="000000"/>
                <w:sz w:val="22"/>
                <w:szCs w:val="22"/>
                <w:lang w:eastAsia="en-GB"/>
              </w:rPr>
            </w:pPr>
          </w:p>
        </w:tc>
        <w:tc>
          <w:tcPr>
            <w:tcW w:w="1219"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1097" w:type="dxa"/>
            <w:noWrap/>
            <w:tcMar>
              <w:top w:w="0" w:type="dxa"/>
              <w:left w:w="108" w:type="dxa"/>
              <w:bottom w:w="0" w:type="dxa"/>
              <w:right w:w="108" w:type="dxa"/>
            </w:tcMar>
            <w:vAlign w:val="bottom"/>
            <w:hideMark/>
          </w:tcPr>
          <w:p w:rsidR="009A0CF3" w:rsidRDefault="009A0CF3">
            <w:pPr>
              <w:spacing w:after="0" w:line="240" w:lineRule="auto"/>
              <w:rPr>
                <w:rFonts w:ascii="Times New Roman" w:eastAsia="Times New Roman" w:hAnsi="Times New Roman" w:cs="Times New Roman"/>
                <w:sz w:val="20"/>
                <w:szCs w:val="20"/>
                <w:lang w:eastAsia="en-GB"/>
              </w:rPr>
            </w:pPr>
          </w:p>
        </w:tc>
        <w:tc>
          <w:tcPr>
            <w:tcW w:w="3258" w:type="dxa"/>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 between BHC and AHC</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Aberdeen City</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14.9%</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21.5%</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6.6</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Aberdeenshire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10.4%</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16.1%</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5.7</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Angus</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17.6%</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24.0%</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6.4</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Argyll and Bute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17.3%</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23.4%</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6.1</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City of Edinburgh</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12.6%</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19.5%</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6.9</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Clackmannanshire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20.8%</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26.8%</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6.0</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Dumfries and Galloway</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20.6%</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26.2%</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5.6</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Dundee City</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21.4%</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27.3%</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5.9</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East Ayrshire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22.9%</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27.9%</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5.0</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East Dunbartonshire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10.4%</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16.1%</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5.7</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East Lothian</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15.8%</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23.3%</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7.5</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East Renfrewshire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10.0%</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15.2%</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5.2</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Falkirk</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18.1%</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24.5%</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6.4</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Fife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20.5%</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26.3%</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5.8</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Glasgow City</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28.0%</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31.8%</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3.8</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Highland</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16.7%</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23.0%</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6.3</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Inverclyde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17.7%</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23.8%</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6.1</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Midlothian</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15.7%</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23.2%</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7.5</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Moray</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16.1%</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22.4%</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6.3</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Na h-</w:t>
            </w:r>
            <w:proofErr w:type="spellStart"/>
            <w:r>
              <w:rPr>
                <w:color w:val="000000"/>
                <w:sz w:val="22"/>
                <w:szCs w:val="22"/>
                <w:lang w:eastAsia="en-GB"/>
              </w:rPr>
              <w:t>Eileanan</w:t>
            </w:r>
            <w:proofErr w:type="spellEnd"/>
            <w:r>
              <w:rPr>
                <w:color w:val="000000"/>
                <w:sz w:val="22"/>
                <w:szCs w:val="22"/>
                <w:lang w:eastAsia="en-GB"/>
              </w:rPr>
              <w:t xml:space="preserve"> </w:t>
            </w:r>
            <w:proofErr w:type="spellStart"/>
            <w:r>
              <w:rPr>
                <w:color w:val="000000"/>
                <w:sz w:val="22"/>
                <w:szCs w:val="22"/>
                <w:lang w:eastAsia="en-GB"/>
              </w:rPr>
              <w:t>Siar</w:t>
            </w:r>
            <w:proofErr w:type="spellEnd"/>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13.4%</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19.5%</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6.1</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North Ayrshire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23.4%</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28.3%</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4.9</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North Lanarkshire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20.6%</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26.2%</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5.6</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Orkney Islands</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15.6%</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21.9%</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6.3</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Perth and Kinross</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15.7%</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22.2%</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6.5</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Renfrewshire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16.9%</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23.0%</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6.1</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Scottish Borders</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17.6%</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23.9%</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6.3</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Shetland Islands</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9.3%</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14.4%</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5.1</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South Ayrshire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19.2%</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25.0%</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5.8</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South Lanarkshire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17.2%</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23.2%</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6.0</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Stirling</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14.9%</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21.3%</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6.4</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West Dunbartonshire</w:t>
            </w:r>
          </w:p>
        </w:tc>
        <w:tc>
          <w:tcPr>
            <w:tcW w:w="1219" w:type="dxa"/>
            <w:noWrap/>
            <w:tcMar>
              <w:top w:w="0" w:type="dxa"/>
              <w:left w:w="108" w:type="dxa"/>
              <w:bottom w:w="0" w:type="dxa"/>
              <w:right w:w="108" w:type="dxa"/>
            </w:tcMar>
            <w:vAlign w:val="bottom"/>
            <w:hideMark/>
          </w:tcPr>
          <w:p w:rsidR="009A0CF3" w:rsidRDefault="009A0CF3">
            <w:pPr>
              <w:spacing w:after="0" w:line="240" w:lineRule="auto"/>
              <w:ind w:firstLine="220"/>
              <w:rPr>
                <w:color w:val="000000"/>
                <w:sz w:val="22"/>
                <w:szCs w:val="22"/>
                <w:lang w:eastAsia="en-GB"/>
              </w:rPr>
            </w:pPr>
            <w:r>
              <w:rPr>
                <w:color w:val="000000"/>
                <w:sz w:val="22"/>
                <w:szCs w:val="22"/>
                <w:lang w:eastAsia="en-GB"/>
              </w:rPr>
              <w:t>21.9%</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27.4%</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5.5</w:t>
            </w:r>
          </w:p>
        </w:tc>
      </w:tr>
      <w:tr w:rsidR="009A0CF3" w:rsidTr="009A0CF3">
        <w:trPr>
          <w:trHeight w:val="288"/>
        </w:trPr>
        <w:tc>
          <w:tcPr>
            <w:tcW w:w="2666" w:type="dxa"/>
            <w:noWrap/>
            <w:tcMar>
              <w:top w:w="0" w:type="dxa"/>
              <w:left w:w="108" w:type="dxa"/>
              <w:bottom w:w="0" w:type="dxa"/>
              <w:right w:w="108" w:type="dxa"/>
            </w:tcMar>
            <w:vAlign w:val="bottom"/>
            <w:hideMark/>
          </w:tcPr>
          <w:p w:rsidR="009A0CF3" w:rsidRDefault="009A0CF3">
            <w:pPr>
              <w:spacing w:after="0" w:line="240" w:lineRule="auto"/>
              <w:rPr>
                <w:color w:val="000000"/>
                <w:sz w:val="22"/>
                <w:szCs w:val="22"/>
                <w:lang w:eastAsia="en-GB"/>
              </w:rPr>
            </w:pPr>
            <w:r>
              <w:rPr>
                <w:color w:val="000000"/>
                <w:sz w:val="22"/>
                <w:szCs w:val="22"/>
                <w:lang w:eastAsia="en-GB"/>
              </w:rPr>
              <w:t>West Lothian</w:t>
            </w:r>
          </w:p>
        </w:tc>
        <w:tc>
          <w:tcPr>
            <w:tcW w:w="1219" w:type="dxa"/>
            <w:shd w:val="clear" w:color="auto" w:fill="FFFFFF"/>
            <w:noWrap/>
            <w:tcMar>
              <w:top w:w="0" w:type="dxa"/>
              <w:left w:w="108" w:type="dxa"/>
              <w:bottom w:w="0" w:type="dxa"/>
              <w:right w:w="108" w:type="dxa"/>
            </w:tcMar>
            <w:vAlign w:val="center"/>
            <w:hideMark/>
          </w:tcPr>
          <w:p w:rsidR="009A0CF3" w:rsidRDefault="009A0CF3">
            <w:pPr>
              <w:spacing w:after="0" w:line="240" w:lineRule="auto"/>
              <w:ind w:firstLine="180"/>
              <w:rPr>
                <w:rFonts w:ascii="Arial" w:hAnsi="Arial" w:cs="Arial"/>
                <w:color w:val="000000"/>
                <w:sz w:val="18"/>
                <w:szCs w:val="18"/>
                <w:lang w:eastAsia="en-GB"/>
              </w:rPr>
            </w:pPr>
            <w:r>
              <w:rPr>
                <w:rFonts w:ascii="Arial" w:hAnsi="Arial" w:cs="Arial"/>
                <w:color w:val="000000"/>
                <w:sz w:val="18"/>
                <w:szCs w:val="18"/>
                <w:lang w:eastAsia="en-GB"/>
              </w:rPr>
              <w:t>17.1%</w:t>
            </w:r>
          </w:p>
        </w:tc>
        <w:tc>
          <w:tcPr>
            <w:tcW w:w="1097" w:type="dxa"/>
            <w:noWrap/>
            <w:tcMar>
              <w:top w:w="0" w:type="dxa"/>
              <w:left w:w="108" w:type="dxa"/>
              <w:bottom w:w="0" w:type="dxa"/>
              <w:right w:w="108" w:type="dxa"/>
            </w:tcMar>
            <w:vAlign w:val="bottom"/>
            <w:hideMark/>
          </w:tcPr>
          <w:p w:rsidR="009A0CF3" w:rsidRDefault="009A0CF3">
            <w:pPr>
              <w:spacing w:after="0" w:line="240" w:lineRule="auto"/>
              <w:jc w:val="right"/>
              <w:rPr>
                <w:color w:val="000000"/>
                <w:sz w:val="22"/>
                <w:szCs w:val="22"/>
                <w:lang w:eastAsia="en-GB"/>
              </w:rPr>
            </w:pPr>
            <w:r>
              <w:rPr>
                <w:color w:val="000000"/>
                <w:sz w:val="22"/>
                <w:szCs w:val="22"/>
                <w:lang w:eastAsia="en-GB"/>
              </w:rPr>
              <w:t>23.7%</w:t>
            </w:r>
          </w:p>
        </w:tc>
        <w:tc>
          <w:tcPr>
            <w:tcW w:w="3258" w:type="dxa"/>
            <w:noWrap/>
            <w:tcMar>
              <w:top w:w="0" w:type="dxa"/>
              <w:left w:w="108" w:type="dxa"/>
              <w:bottom w:w="0" w:type="dxa"/>
              <w:right w:w="108" w:type="dxa"/>
            </w:tcMar>
            <w:vAlign w:val="bottom"/>
            <w:hideMark/>
          </w:tcPr>
          <w:p w:rsidR="009A0CF3" w:rsidRDefault="009A0CF3">
            <w:pPr>
              <w:spacing w:after="0" w:line="240" w:lineRule="auto"/>
              <w:jc w:val="center"/>
              <w:rPr>
                <w:color w:val="000000"/>
                <w:sz w:val="22"/>
                <w:szCs w:val="22"/>
                <w:lang w:eastAsia="en-GB"/>
              </w:rPr>
            </w:pPr>
            <w:r>
              <w:rPr>
                <w:color w:val="000000"/>
                <w:sz w:val="22"/>
                <w:szCs w:val="22"/>
                <w:lang w:eastAsia="en-GB"/>
              </w:rPr>
              <w:t>6.6</w:t>
            </w:r>
          </w:p>
        </w:tc>
      </w:tr>
    </w:tbl>
    <w:p w:rsidR="009A0CF3" w:rsidRDefault="009A0CF3" w:rsidP="009A0CF3">
      <w:pPr>
        <w:pStyle w:val="NCBBody"/>
        <w:rPr>
          <w:rFonts w:ascii="Century Gothic" w:hAnsi="Century Gothic" w:cs="Times New Roman"/>
          <w:sz w:val="21"/>
          <w:szCs w:val="21"/>
        </w:rPr>
      </w:pPr>
    </w:p>
    <w:p w:rsidR="009A0CF3" w:rsidRDefault="009A0CF3" w:rsidP="009A0CF3">
      <w:pPr>
        <w:pStyle w:val="NCBBody"/>
        <w:rPr>
          <w:rFonts w:ascii="Century Gothic" w:eastAsia="Times New Roman" w:hAnsi="Century Gothic"/>
          <w:sz w:val="21"/>
          <w:szCs w:val="21"/>
          <w:lang w:eastAsia="en-GB"/>
        </w:rPr>
      </w:pPr>
    </w:p>
    <w:tbl>
      <w:tblPr>
        <w:tblW w:w="9160" w:type="dxa"/>
        <w:tblCellMar>
          <w:left w:w="0" w:type="dxa"/>
          <w:right w:w="0" w:type="dxa"/>
        </w:tblCellMar>
        <w:tblLook w:val="04A0" w:firstRow="1" w:lastRow="0" w:firstColumn="1" w:lastColumn="0" w:noHBand="0" w:noVBand="1"/>
      </w:tblPr>
      <w:tblGrid>
        <w:gridCol w:w="4317"/>
        <w:gridCol w:w="980"/>
        <w:gridCol w:w="980"/>
        <w:gridCol w:w="980"/>
        <w:gridCol w:w="980"/>
        <w:gridCol w:w="1327"/>
      </w:tblGrid>
      <w:tr w:rsidR="009A0CF3" w:rsidTr="009A0CF3">
        <w:trPr>
          <w:trHeight w:val="288"/>
        </w:trPr>
        <w:tc>
          <w:tcPr>
            <w:tcW w:w="9160" w:type="dxa"/>
            <w:gridSpan w:val="6"/>
            <w:noWrap/>
            <w:tcMar>
              <w:top w:w="0" w:type="dxa"/>
              <w:left w:w="108" w:type="dxa"/>
              <w:bottom w:w="0" w:type="dxa"/>
              <w:right w:w="108" w:type="dxa"/>
            </w:tcMar>
            <w:vAlign w:val="bottom"/>
            <w:hideMark/>
          </w:tcPr>
          <w:p w:rsidR="009A0CF3" w:rsidRDefault="009A0CF3">
            <w:pPr>
              <w:spacing w:after="0" w:line="240" w:lineRule="auto"/>
              <w:rPr>
                <w:b/>
                <w:bCs/>
                <w:color w:val="000000"/>
                <w:sz w:val="24"/>
                <w:szCs w:val="24"/>
                <w:lang w:eastAsia="en-GB"/>
              </w:rPr>
            </w:pPr>
            <w:r>
              <w:rPr>
                <w:b/>
                <w:bCs/>
                <w:color w:val="000000"/>
                <w:sz w:val="24"/>
                <w:szCs w:val="24"/>
                <w:lang w:eastAsia="en-GB"/>
              </w:rPr>
              <w:t>Child poverty, % of children below 60% median income after housing costs (AHC), by Westminster constituency</w:t>
            </w:r>
          </w:p>
        </w:tc>
      </w:tr>
      <w:tr w:rsidR="009A0CF3" w:rsidTr="009A0CF3">
        <w:trPr>
          <w:trHeight w:val="288"/>
        </w:trPr>
        <w:tc>
          <w:tcPr>
            <w:tcW w:w="4317" w:type="dxa"/>
            <w:vMerge w:val="restart"/>
            <w:tcBorders>
              <w:top w:val="nil"/>
              <w:left w:val="single" w:sz="8" w:space="0" w:color="auto"/>
              <w:bottom w:val="single" w:sz="8" w:space="0" w:color="000000"/>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Parliamentary constituency</w:t>
            </w:r>
          </w:p>
        </w:tc>
        <w:tc>
          <w:tcPr>
            <w:tcW w:w="1758" w:type="dxa"/>
            <w:gridSpan w:val="2"/>
            <w:tcBorders>
              <w:top w:val="nil"/>
              <w:left w:val="single" w:sz="8" w:space="0" w:color="auto"/>
              <w:bottom w:val="nil"/>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i/>
                <w:iCs/>
                <w:color w:val="000000"/>
                <w:sz w:val="22"/>
                <w:szCs w:val="22"/>
                <w:lang w:eastAsia="en-GB"/>
              </w:rPr>
            </w:pPr>
            <w:r>
              <w:rPr>
                <w:b/>
                <w:bCs/>
                <w:i/>
                <w:iCs/>
                <w:color w:val="000000"/>
                <w:sz w:val="22"/>
                <w:szCs w:val="22"/>
                <w:lang w:eastAsia="en-GB"/>
              </w:rPr>
              <w:t>Number</w:t>
            </w:r>
          </w:p>
        </w:tc>
        <w:tc>
          <w:tcPr>
            <w:tcW w:w="1758" w:type="dxa"/>
            <w:gridSpan w:val="2"/>
            <w:tcBorders>
              <w:top w:val="nil"/>
              <w:left w:val="single" w:sz="8" w:space="0" w:color="auto"/>
              <w:bottom w:val="nil"/>
              <w:right w:val="single" w:sz="8" w:space="0" w:color="000000"/>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i/>
                <w:iCs/>
                <w:color w:val="000000"/>
                <w:sz w:val="22"/>
                <w:szCs w:val="22"/>
                <w:lang w:eastAsia="en-GB"/>
              </w:rPr>
            </w:pPr>
            <w:r>
              <w:rPr>
                <w:b/>
                <w:bCs/>
                <w:i/>
                <w:iCs/>
                <w:color w:val="000000"/>
                <w:sz w:val="22"/>
                <w:szCs w:val="22"/>
                <w:lang w:eastAsia="en-GB"/>
              </w:rPr>
              <w:t>Percentage</w:t>
            </w:r>
          </w:p>
        </w:tc>
        <w:tc>
          <w:tcPr>
            <w:tcW w:w="1327" w:type="dxa"/>
            <w:vMerge w:val="restart"/>
            <w:tcBorders>
              <w:top w:val="nil"/>
              <w:left w:val="nil"/>
              <w:bottom w:val="single" w:sz="8" w:space="0" w:color="000000"/>
              <w:right w:val="single" w:sz="8" w:space="0" w:color="auto"/>
            </w:tcBorders>
            <w:shd w:val="clear" w:color="auto" w:fill="FFCCFF"/>
            <w:tcMar>
              <w:top w:w="0" w:type="dxa"/>
              <w:left w:w="108" w:type="dxa"/>
              <w:bottom w:w="0" w:type="dxa"/>
              <w:right w:w="108" w:type="dxa"/>
            </w:tcMar>
            <w:vAlign w:val="bottom"/>
            <w:hideMark/>
          </w:tcPr>
          <w:p w:rsidR="009A0CF3" w:rsidRDefault="009A0CF3">
            <w:pPr>
              <w:spacing w:after="0" w:line="240" w:lineRule="auto"/>
              <w:rPr>
                <w:b/>
                <w:bCs/>
                <w:sz w:val="22"/>
                <w:szCs w:val="22"/>
                <w:lang w:eastAsia="en-GB"/>
              </w:rPr>
            </w:pPr>
            <w:r>
              <w:rPr>
                <w:b/>
                <w:bCs/>
                <w:sz w:val="22"/>
                <w:szCs w:val="22"/>
                <w:lang w:eastAsia="en-GB"/>
              </w:rPr>
              <w:t>Percentage point change (2015-19)</w:t>
            </w:r>
          </w:p>
        </w:tc>
      </w:tr>
      <w:tr w:rsidR="009A0CF3" w:rsidTr="009A0CF3">
        <w:trPr>
          <w:trHeight w:val="288"/>
        </w:trPr>
        <w:tc>
          <w:tcPr>
            <w:tcW w:w="0" w:type="auto"/>
            <w:vMerge/>
            <w:tcBorders>
              <w:top w:val="nil"/>
              <w:left w:val="single" w:sz="8" w:space="0" w:color="auto"/>
              <w:bottom w:val="single" w:sz="8" w:space="0" w:color="000000"/>
              <w:right w:val="nil"/>
            </w:tcBorders>
            <w:vAlign w:val="center"/>
            <w:hideMark/>
          </w:tcPr>
          <w:p w:rsidR="009A0CF3" w:rsidRDefault="009A0CF3">
            <w:pPr>
              <w:spacing w:after="0" w:line="240" w:lineRule="auto"/>
              <w:rPr>
                <w:b/>
                <w:bCs/>
                <w:color w:val="000000"/>
                <w:sz w:val="22"/>
                <w:szCs w:val="22"/>
                <w:lang w:eastAsia="en-GB"/>
              </w:rPr>
            </w:pPr>
          </w:p>
        </w:tc>
        <w:tc>
          <w:tcPr>
            <w:tcW w:w="879" w:type="dxa"/>
            <w:tcBorders>
              <w:top w:val="nil"/>
              <w:left w:val="single" w:sz="8" w:space="0" w:color="auto"/>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2014/15</w:t>
            </w:r>
          </w:p>
        </w:tc>
        <w:tc>
          <w:tcPr>
            <w:tcW w:w="879" w:type="dxa"/>
            <w:tcBorders>
              <w:top w:val="nil"/>
              <w:left w:val="nil"/>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2018/19</w:t>
            </w:r>
          </w:p>
        </w:tc>
        <w:tc>
          <w:tcPr>
            <w:tcW w:w="879" w:type="dxa"/>
            <w:tcBorders>
              <w:top w:val="nil"/>
              <w:left w:val="single" w:sz="8" w:space="0" w:color="auto"/>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2014/15</w:t>
            </w:r>
          </w:p>
        </w:tc>
        <w:tc>
          <w:tcPr>
            <w:tcW w:w="879" w:type="dxa"/>
            <w:tcBorders>
              <w:top w:val="nil"/>
              <w:left w:val="nil"/>
              <w:bottom w:val="single" w:sz="8" w:space="0" w:color="auto"/>
              <w:right w:val="nil"/>
            </w:tcBorders>
            <w:shd w:val="clear" w:color="auto" w:fill="FFCCFF"/>
            <w:noWrap/>
            <w:tcMar>
              <w:top w:w="0" w:type="dxa"/>
              <w:left w:w="108" w:type="dxa"/>
              <w:bottom w:w="0" w:type="dxa"/>
              <w:right w:w="108" w:type="dxa"/>
            </w:tcMar>
            <w:vAlign w:val="bottom"/>
            <w:hideMark/>
          </w:tcPr>
          <w:p w:rsidR="009A0CF3" w:rsidRDefault="009A0CF3">
            <w:pPr>
              <w:spacing w:after="0" w:line="240" w:lineRule="auto"/>
              <w:rPr>
                <w:b/>
                <w:bCs/>
                <w:color w:val="000000"/>
                <w:sz w:val="22"/>
                <w:szCs w:val="22"/>
                <w:lang w:eastAsia="en-GB"/>
              </w:rPr>
            </w:pPr>
            <w:r>
              <w:rPr>
                <w:b/>
                <w:bCs/>
                <w:color w:val="000000"/>
                <w:sz w:val="22"/>
                <w:szCs w:val="22"/>
                <w:lang w:eastAsia="en-GB"/>
              </w:rPr>
              <w:t>2018/19</w:t>
            </w:r>
          </w:p>
        </w:tc>
        <w:tc>
          <w:tcPr>
            <w:tcW w:w="0" w:type="auto"/>
            <w:vMerge/>
            <w:tcBorders>
              <w:top w:val="nil"/>
              <w:left w:val="nil"/>
              <w:bottom w:val="single" w:sz="8" w:space="0" w:color="000000"/>
              <w:right w:val="single" w:sz="8" w:space="0" w:color="auto"/>
            </w:tcBorders>
            <w:vAlign w:val="center"/>
            <w:hideMark/>
          </w:tcPr>
          <w:p w:rsidR="009A0CF3" w:rsidRDefault="009A0CF3">
            <w:pPr>
              <w:spacing w:after="0" w:line="240" w:lineRule="auto"/>
              <w:rPr>
                <w:b/>
                <w:bCs/>
                <w:sz w:val="22"/>
                <w:szCs w:val="22"/>
                <w:lang w:eastAsia="en-GB"/>
              </w:rPr>
            </w:pP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Aberdeen North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3334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4087</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26.5%</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Aberdeen South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1925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2322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13.9%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16.0%</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 xml:space="preserve">Airdrie and </w:t>
            </w:r>
            <w:proofErr w:type="spellStart"/>
            <w:r>
              <w:rPr>
                <w:rFonts w:ascii="Arial" w:hAnsi="Arial" w:cs="Arial"/>
                <w:sz w:val="20"/>
                <w:szCs w:val="20"/>
                <w:lang w:eastAsia="en-GB"/>
              </w:rPr>
              <w:t>Shotts</w:t>
            </w:r>
            <w:proofErr w:type="spellEnd"/>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4151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4410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Angus</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3320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3649</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25.7%</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Argyll and Bute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2809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3021</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Ayr, Carrick and Cumnock</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3913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4212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28.6%</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Banff and Buchan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3246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3365</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Berwickshire, Roxburgh and Selkirk</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3436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3886</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Caithness, Sutherland and Easter Ross</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2385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2546</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25.6%</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Central Ayrshire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3630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3959</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27.0%</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Coatbridge, Chryston and Bellshill</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4294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4548</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25.9%</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Cumbernauld, Kilsyth and Kirkintilloch East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3398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3745</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23.3%</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Dumfries and Galloway</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3753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4058</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Dumfriesshire, Clydesdale and Tweeddale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3014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3310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Dundee East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3385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3607</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23.1%</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Dundee West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3236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3801</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Dunfermline and West Fife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3887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4342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Dunbartonshire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2289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2292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15.6%</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 xml:space="preserve">East Kilbride, </w:t>
            </w:r>
            <w:proofErr w:type="spellStart"/>
            <w:r>
              <w:rPr>
                <w:rFonts w:ascii="Arial" w:hAnsi="Arial" w:cs="Arial"/>
                <w:sz w:val="20"/>
                <w:szCs w:val="20"/>
                <w:lang w:eastAsia="en-GB"/>
              </w:rPr>
              <w:t>Strathaven</w:t>
            </w:r>
            <w:proofErr w:type="spellEnd"/>
            <w:r>
              <w:rPr>
                <w:rFonts w:ascii="Arial" w:hAnsi="Arial" w:cs="Arial"/>
                <w:sz w:val="20"/>
                <w:szCs w:val="20"/>
                <w:lang w:eastAsia="en-GB"/>
              </w:rPr>
              <w:t xml:space="preserve"> and </w:t>
            </w:r>
            <w:proofErr w:type="spellStart"/>
            <w:r>
              <w:rPr>
                <w:rFonts w:ascii="Arial" w:hAnsi="Arial" w:cs="Arial"/>
                <w:sz w:val="20"/>
                <w:szCs w:val="20"/>
                <w:lang w:eastAsia="en-GB"/>
              </w:rPr>
              <w:t>Lesmahagow</w:t>
            </w:r>
            <w:proofErr w:type="spellEnd"/>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3242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3602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20.3%</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Lothian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4172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5058</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3.9</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East Renfrewshire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3119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3326</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Edinburgh East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2808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3088</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1.2</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Edinburgh North and Leith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2909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3116</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19.9%</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0.9</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Edinburgh South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2105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2180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14.7%</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Edinburgh South West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2884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3049</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0.6</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Edinburgh West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2432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2900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Na h-</w:t>
            </w:r>
            <w:proofErr w:type="spellStart"/>
            <w:r>
              <w:rPr>
                <w:rFonts w:ascii="Arial" w:hAnsi="Arial" w:cs="Arial"/>
                <w:sz w:val="20"/>
                <w:szCs w:val="20"/>
                <w:lang w:eastAsia="en-GB"/>
              </w:rPr>
              <w:t>Eileanan</w:t>
            </w:r>
            <w:proofErr w:type="spellEnd"/>
            <w:r>
              <w:rPr>
                <w:rFonts w:ascii="Arial" w:hAnsi="Arial" w:cs="Arial"/>
                <w:sz w:val="20"/>
                <w:szCs w:val="20"/>
                <w:lang w:eastAsia="en-GB"/>
              </w:rPr>
              <w:t xml:space="preserve"> an </w:t>
            </w:r>
            <w:proofErr w:type="spellStart"/>
            <w:r>
              <w:rPr>
                <w:rFonts w:ascii="Arial" w:hAnsi="Arial" w:cs="Arial"/>
                <w:sz w:val="20"/>
                <w:szCs w:val="20"/>
                <w:lang w:eastAsia="en-GB"/>
              </w:rPr>
              <w:t>Iar</w:t>
            </w:r>
            <w:proofErr w:type="spellEnd"/>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700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799</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18.4%</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Falkirk</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4274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4594</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Central</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3859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5561</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32.8%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41.3%</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8.5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East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4316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5313</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30.6%</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North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2473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2882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North East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4150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4850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33.4%</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5.4</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North West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3672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4289</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29.0%</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South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3820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4350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4.4</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Glasgow South West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4549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5298</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3.9</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proofErr w:type="spellStart"/>
            <w:r>
              <w:rPr>
                <w:rFonts w:ascii="Arial" w:hAnsi="Arial" w:cs="Arial"/>
                <w:sz w:val="20"/>
                <w:szCs w:val="20"/>
                <w:lang w:eastAsia="en-GB"/>
              </w:rPr>
              <w:t>Glenrothes</w:t>
            </w:r>
            <w:proofErr w:type="spellEnd"/>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4390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4853</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Gordon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2098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2550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11.5%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13.5%</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Inverclyde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2818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2926</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 xml:space="preserve">Inverness, Nairn, Badenoch and </w:t>
            </w:r>
            <w:proofErr w:type="spellStart"/>
            <w:r>
              <w:rPr>
                <w:rFonts w:ascii="Arial" w:hAnsi="Arial" w:cs="Arial"/>
                <w:sz w:val="20"/>
                <w:szCs w:val="20"/>
                <w:lang w:eastAsia="en-GB"/>
              </w:rPr>
              <w:t>Strathspey</w:t>
            </w:r>
            <w:proofErr w:type="spellEnd"/>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3697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3912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21.5%</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1.1</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Kilmarnock and Loudoun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4091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4624</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27.6%</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 xml:space="preserve">Kirkcaldy and </w:t>
            </w:r>
            <w:proofErr w:type="spellStart"/>
            <w:r>
              <w:rPr>
                <w:rFonts w:ascii="Arial" w:hAnsi="Arial" w:cs="Arial"/>
                <w:sz w:val="20"/>
                <w:szCs w:val="20"/>
                <w:lang w:eastAsia="en-GB"/>
              </w:rPr>
              <w:t>Cowdenbeath</w:t>
            </w:r>
            <w:proofErr w:type="spellEnd"/>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4706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5293</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Lanark and Hamilton East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3673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3865</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Linlithgow and East Falkirk</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4885</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5173</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22.5%</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0.4</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Livingston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4580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5152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24.2%</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3.1</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lastRenderedPageBreak/>
              <w:t>Midlothian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3497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3843</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0.4</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Moray</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3367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3552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22.0%</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Motherwell and Wishaw</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4518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4821</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26.2%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27.7%</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1.5</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North Ayrshire and Arran</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3957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4237</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27.6%</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North East Fife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2158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2402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21.1%</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Ochil and South Perthshire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3790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4031</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22.5%</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1.3</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Orkney and Shetland</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1346</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1470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19.0%</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Paisley and Renfrewshire North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2954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3421</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18.7%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Paisley and Renfrewshire South</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2817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3380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5.0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Perth and North Perthshire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3438</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3690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23.8%</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Ross, Skye and Lochaber</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2399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2478</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22.3%</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1.6</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Rutherglen and Hamilton West</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4491</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4720</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23.3%</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24.4%</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1.0</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Stirling</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3099</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3202</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20.0%</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20.7%</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0.7</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West Aberdeenshire and Kincardine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1904</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2139</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10.2%</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11.4%</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1.2</w:t>
            </w:r>
          </w:p>
        </w:tc>
      </w:tr>
      <w:tr w:rsidR="009A0CF3" w:rsidTr="009A0CF3">
        <w:trPr>
          <w:trHeight w:val="288"/>
        </w:trPr>
        <w:tc>
          <w:tcPr>
            <w:tcW w:w="4317"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rPr>
                <w:rFonts w:ascii="Arial" w:hAnsi="Arial" w:cs="Arial"/>
                <w:sz w:val="20"/>
                <w:szCs w:val="20"/>
                <w:lang w:eastAsia="en-GB"/>
              </w:rPr>
            </w:pPr>
            <w:r>
              <w:rPr>
                <w:rFonts w:ascii="Arial" w:hAnsi="Arial" w:cs="Arial"/>
                <w:sz w:val="20"/>
                <w:szCs w:val="20"/>
                <w:lang w:eastAsia="en-GB"/>
              </w:rPr>
              <w:t>West Dunbartonshire</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3867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4305</w:t>
            </w:r>
          </w:p>
        </w:tc>
        <w:tc>
          <w:tcPr>
            <w:tcW w:w="879" w:type="dxa"/>
            <w:tcBorders>
              <w:top w:val="nil"/>
              <w:left w:val="single" w:sz="8" w:space="0" w:color="auto"/>
              <w:bottom w:val="nil"/>
              <w:right w:val="nil"/>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24.7%</w:t>
            </w:r>
          </w:p>
        </w:tc>
        <w:tc>
          <w:tcPr>
            <w:tcW w:w="879" w:type="dxa"/>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27.4%</w:t>
            </w:r>
          </w:p>
        </w:tc>
        <w:tc>
          <w:tcPr>
            <w:tcW w:w="1327"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9A0CF3" w:rsidRDefault="009A0CF3">
            <w:pPr>
              <w:spacing w:after="0" w:line="240" w:lineRule="auto"/>
              <w:jc w:val="right"/>
              <w:rPr>
                <w:rFonts w:ascii="Arial" w:hAnsi="Arial" w:cs="Arial"/>
                <w:sz w:val="20"/>
                <w:szCs w:val="20"/>
                <w:lang w:eastAsia="en-GB"/>
              </w:rPr>
            </w:pPr>
            <w:r>
              <w:rPr>
                <w:rFonts w:ascii="Arial" w:hAnsi="Arial" w:cs="Arial"/>
                <w:sz w:val="20"/>
                <w:szCs w:val="20"/>
                <w:lang w:eastAsia="en-GB"/>
              </w:rPr>
              <w:t>2.7</w:t>
            </w:r>
          </w:p>
        </w:tc>
      </w:tr>
    </w:tbl>
    <w:p w:rsidR="009A0CF3" w:rsidRDefault="009A0CF3" w:rsidP="009A0CF3">
      <w:pPr>
        <w:pStyle w:val="NCBBody"/>
        <w:rPr>
          <w:rFonts w:ascii="Century Gothic" w:hAnsi="Century Gothic" w:cs="Times New Roman"/>
          <w:sz w:val="21"/>
          <w:szCs w:val="21"/>
        </w:rPr>
      </w:pPr>
    </w:p>
    <w:p w:rsidR="009A0CF3" w:rsidRDefault="009A0CF3" w:rsidP="009A0CF3">
      <w:pPr>
        <w:pStyle w:val="NCBBody"/>
        <w:rPr>
          <w:rFonts w:ascii="Century Gothic" w:eastAsia="Times New Roman" w:hAnsi="Century Gothic"/>
          <w:sz w:val="21"/>
          <w:szCs w:val="21"/>
          <w:lang w:eastAsia="en-GB"/>
        </w:rPr>
      </w:pPr>
    </w:p>
    <w:p w:rsidR="009A0CF3" w:rsidRDefault="009A0CF3" w:rsidP="009A0CF3">
      <w:pPr>
        <w:pStyle w:val="NCBBody"/>
        <w:rPr>
          <w:b/>
          <w:bCs/>
          <w:sz w:val="28"/>
          <w:szCs w:val="28"/>
        </w:rPr>
      </w:pPr>
      <w:r>
        <w:rPr>
          <w:b/>
          <w:bCs/>
        </w:rPr>
        <w:t>ENDS</w:t>
      </w:r>
    </w:p>
    <w:p w:rsidR="009A0CF3" w:rsidRDefault="009A0CF3" w:rsidP="009A0CF3">
      <w:pPr>
        <w:pStyle w:val="NCBBody"/>
        <w:rPr>
          <w:b/>
          <w:bCs/>
          <w:sz w:val="20"/>
          <w:szCs w:val="20"/>
        </w:rPr>
      </w:pPr>
      <w:r>
        <w:rPr>
          <w:b/>
          <w:bCs/>
        </w:rPr>
        <w:t>Notes to editors</w:t>
      </w:r>
    </w:p>
    <w:p w:rsidR="009A0CF3" w:rsidRDefault="009A0CF3" w:rsidP="009A0CF3">
      <w:pPr>
        <w:pStyle w:val="NCBBody"/>
      </w:pPr>
      <w:r>
        <w:t xml:space="preserve">For further information, or requests to speak to Scottish members of End Child Poverty please contact John Dickie, Director of CPAG in Scotland on 07795 340 618 or at </w:t>
      </w:r>
      <w:hyperlink r:id="rId11" w:history="1">
        <w:r>
          <w:rPr>
            <w:rStyle w:val="Hyperlink"/>
          </w:rPr>
          <w:t>jdickie@cpagscotland.org.uk</w:t>
        </w:r>
      </w:hyperlink>
      <w:r>
        <w:t xml:space="preserve"> </w:t>
      </w:r>
    </w:p>
    <w:p w:rsidR="009A0CF3" w:rsidRDefault="009A0CF3" w:rsidP="009A0CF3">
      <w:pPr>
        <w:pStyle w:val="NCBBody"/>
        <w:numPr>
          <w:ilvl w:val="0"/>
          <w:numId w:val="9"/>
        </w:numPr>
        <w:rPr>
          <w:sz w:val="28"/>
          <w:szCs w:val="28"/>
        </w:rPr>
      </w:pPr>
      <w:r>
        <w:t xml:space="preserve">The research was carried out by Dr Juliet Stone and Professor Donald Hirsch at the Centre for Research in Social Policy, at Loughborough University using Before Housing Cost data produced by the Department for Work and Pensions in March 2020, together with housing cost data from the Valuation Office Agency and income data from the Understanding Society survey. The full </w:t>
      </w:r>
      <w:hyperlink r:id="rId12" w:history="1">
        <w:r>
          <w:rPr>
            <w:rStyle w:val="Hyperlink"/>
          </w:rPr>
          <w:t>report</w:t>
        </w:r>
      </w:hyperlink>
      <w:r>
        <w:t xml:space="preserve"> and </w:t>
      </w:r>
      <w:hyperlink r:id="rId13" w:history="1">
        <w:r>
          <w:rPr>
            <w:rStyle w:val="Hyperlink"/>
          </w:rPr>
          <w:t>data</w:t>
        </w:r>
      </w:hyperlink>
      <w:r>
        <w:t xml:space="preserve"> is published  at </w:t>
      </w:r>
      <w:hyperlink r:id="rId14" w:history="1">
        <w:r>
          <w:rPr>
            <w:rStyle w:val="Hyperlink"/>
          </w:rPr>
          <w:t>www.endchildpoverty.org.uk</w:t>
        </w:r>
      </w:hyperlink>
      <w:r>
        <w:t xml:space="preserve"> </w:t>
      </w:r>
    </w:p>
    <w:p w:rsidR="009A0CF3" w:rsidRDefault="009A0CF3" w:rsidP="009A0CF3">
      <w:pPr>
        <w:pStyle w:val="NCBBody"/>
        <w:numPr>
          <w:ilvl w:val="0"/>
          <w:numId w:val="9"/>
        </w:numPr>
        <w:rPr>
          <w:sz w:val="20"/>
          <w:szCs w:val="20"/>
        </w:rPr>
      </w:pPr>
      <w:r>
        <w:t>Note that the total number of children in poverty shown in the data tables only includes those aged under 16 and is therefore lower than in the main national poverty statistics, which also includes 16-19 year olds in full-time secondary education.</w:t>
      </w:r>
    </w:p>
    <w:p w:rsidR="009A0CF3" w:rsidRDefault="009A0CF3" w:rsidP="009A0CF3">
      <w:pPr>
        <w:pStyle w:val="NCBBody"/>
        <w:numPr>
          <w:ilvl w:val="0"/>
          <w:numId w:val="9"/>
        </w:numPr>
      </w:pPr>
      <w:r>
        <w:t xml:space="preserve">For more information about End Child Poverty’s complaint to the Office for Statistical Regulation and their judgement visit </w:t>
      </w:r>
      <w:hyperlink r:id="rId15" w:history="1">
        <w:r>
          <w:rPr>
            <w:rStyle w:val="Hyperlink"/>
          </w:rPr>
          <w:t>www.endchildpoverty.org.uk/pms-use-of-child-poverty-statistics-misleading/</w:t>
        </w:r>
      </w:hyperlink>
    </w:p>
    <w:p w:rsidR="009A0CF3" w:rsidRDefault="009A0CF3" w:rsidP="009A0CF3">
      <w:pPr>
        <w:pStyle w:val="NCBBody"/>
        <w:rPr>
          <w:rFonts w:ascii="Arial" w:hAnsi="Arial" w:cs="Arial"/>
          <w:b/>
          <w:bCs/>
          <w:color w:val="auto"/>
          <w:sz w:val="24"/>
          <w:szCs w:val="24"/>
        </w:rPr>
      </w:pPr>
      <w:r>
        <w:rPr>
          <w:rFonts w:ascii="Arial" w:hAnsi="Arial" w:cs="Arial"/>
          <w:b/>
          <w:bCs/>
          <w:color w:val="auto"/>
          <w:sz w:val="24"/>
          <w:szCs w:val="24"/>
        </w:rPr>
        <w:t>About End Child Poverty</w:t>
      </w:r>
    </w:p>
    <w:p w:rsidR="009A0CF3" w:rsidRDefault="009A0CF3" w:rsidP="009A0CF3">
      <w:pPr>
        <w:pStyle w:val="NCBBody"/>
        <w:rPr>
          <w:rFonts w:ascii="Arial" w:hAnsi="Arial" w:cs="Arial"/>
          <w:color w:val="auto"/>
          <w:sz w:val="24"/>
          <w:szCs w:val="24"/>
        </w:rPr>
      </w:pPr>
      <w:r>
        <w:rPr>
          <w:rFonts w:ascii="Arial" w:hAnsi="Arial" w:cs="Arial"/>
          <w:color w:val="auto"/>
          <w:sz w:val="24"/>
          <w:szCs w:val="24"/>
        </w:rPr>
        <w:t xml:space="preserve">End Child Poverty is a coalition of organisations from civic society including children’s charities, child welfare organisations, social justice groups, faith groups, trade unions and others, united in our vision of a UK free of child poverty. For more details visit: </w:t>
      </w:r>
      <w:hyperlink r:id="rId16" w:history="1">
        <w:r>
          <w:rPr>
            <w:rStyle w:val="Hyperlink"/>
            <w:rFonts w:ascii="Arial" w:hAnsi="Arial" w:cs="Arial"/>
            <w:b/>
            <w:bCs/>
            <w:color w:val="auto"/>
            <w:sz w:val="24"/>
            <w:szCs w:val="24"/>
          </w:rPr>
          <w:t>www.endchildpoverty.org.uk</w:t>
        </w:r>
      </w:hyperlink>
      <w:r>
        <w:rPr>
          <w:rFonts w:ascii="Arial" w:hAnsi="Arial" w:cs="Arial"/>
          <w:color w:val="auto"/>
          <w:sz w:val="24"/>
          <w:szCs w:val="24"/>
        </w:rPr>
        <w:t xml:space="preserve">    </w:t>
      </w:r>
    </w:p>
    <w:p w:rsidR="009A0CF3" w:rsidRDefault="009A0CF3" w:rsidP="009A0CF3">
      <w:pPr>
        <w:pStyle w:val="xmsolistparagraph"/>
        <w:shd w:val="clear" w:color="auto" w:fill="FFFFFF"/>
        <w:spacing w:before="120" w:beforeAutospacing="0" w:after="120" w:afterAutospacing="0"/>
        <w:rPr>
          <w:rFonts w:ascii="Arial" w:hAnsi="Arial" w:cs="Arial"/>
        </w:rPr>
      </w:pPr>
      <w:r>
        <w:rPr>
          <w:rFonts w:ascii="Arial" w:hAnsi="Arial" w:cs="Arial"/>
        </w:rPr>
        <w:t xml:space="preserve">End Child Poverty members in Scotland include </w:t>
      </w:r>
      <w:proofErr w:type="spellStart"/>
      <w:r>
        <w:rPr>
          <w:rFonts w:ascii="Arial" w:hAnsi="Arial" w:cs="Arial"/>
        </w:rPr>
        <w:t>Aberlour</w:t>
      </w:r>
      <w:proofErr w:type="spellEnd"/>
      <w:r>
        <w:rPr>
          <w:rFonts w:ascii="Arial" w:hAnsi="Arial" w:cs="Arial"/>
        </w:rPr>
        <w:t xml:space="preserve">, Action for Children, </w:t>
      </w:r>
      <w:proofErr w:type="spellStart"/>
      <w:r>
        <w:rPr>
          <w:rFonts w:ascii="Arial" w:hAnsi="Arial" w:cs="Arial"/>
        </w:rPr>
        <w:t>Barnardo’s</w:t>
      </w:r>
      <w:proofErr w:type="spellEnd"/>
      <w:r>
        <w:rPr>
          <w:rFonts w:ascii="Arial" w:hAnsi="Arial" w:cs="Arial"/>
        </w:rPr>
        <w:t xml:space="preserve"> Scotland, Child Poverty Action Group (CPAG) in Scotland, Children 1</w:t>
      </w:r>
      <w:r>
        <w:rPr>
          <w:rFonts w:ascii="Arial" w:hAnsi="Arial" w:cs="Arial"/>
          <w:vertAlign w:val="superscript"/>
        </w:rPr>
        <w:t>st</w:t>
      </w:r>
      <w:r>
        <w:rPr>
          <w:rFonts w:ascii="Arial" w:hAnsi="Arial" w:cs="Arial"/>
        </w:rPr>
        <w:t>, Close the Gap, Engender, One Parent Families Scotland, Oxfam Scotland, Poverty Alliance, and Save the Children.</w:t>
      </w:r>
    </w:p>
    <w:p w:rsidR="009A0CF3" w:rsidRDefault="009A0CF3" w:rsidP="009A0CF3">
      <w:pPr>
        <w:pStyle w:val="NCBSecondaryBullet"/>
        <w:numPr>
          <w:ilvl w:val="0"/>
          <w:numId w:val="0"/>
        </w:numPr>
        <w:rPr>
          <w:rFonts w:cs="Times New Roman"/>
        </w:rPr>
      </w:pPr>
    </w:p>
    <w:p w:rsidR="009A0CF3" w:rsidRDefault="009A0CF3" w:rsidP="009A0CF3">
      <w:pPr>
        <w:rPr>
          <w:sz w:val="22"/>
          <w:szCs w:val="22"/>
        </w:rPr>
      </w:pPr>
    </w:p>
    <w:p w:rsidR="00747F2F" w:rsidRDefault="00747F2F"/>
    <w:sectPr w:rsidR="00747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Round Pro">
    <w:altName w:val="Calibri"/>
    <w:panose1 w:val="00000000000000000000"/>
    <w:charset w:val="00"/>
    <w:family w:val="modern"/>
    <w:notTrueType/>
    <w:pitch w:val="variable"/>
    <w:sig w:usb0="00000287" w:usb1="00000001" w:usb2="00000000" w:usb3="00000000" w:csb0="0000009F" w:csb1="00000000"/>
  </w:font>
  <w:font w:name="Cera Pro">
    <w:altName w:val="Calibri"/>
    <w:panose1 w:val="00000000000000000000"/>
    <w:charset w:val="00"/>
    <w:family w:val="modern"/>
    <w:notTrueType/>
    <w:pitch w:val="variable"/>
    <w:sig w:usb0="00000287" w:usb1="00000001"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3C5"/>
    <w:multiLevelType w:val="hybridMultilevel"/>
    <w:tmpl w:val="71E82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9D3B1E"/>
    <w:multiLevelType w:val="hybridMultilevel"/>
    <w:tmpl w:val="18549CE2"/>
    <w:lvl w:ilvl="0" w:tplc="13949180">
      <w:start w:val="1"/>
      <w:numFmt w:val="bullet"/>
      <w:pStyle w:val="NCBBulletBody"/>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915D91"/>
    <w:multiLevelType w:val="hybridMultilevel"/>
    <w:tmpl w:val="D9C26530"/>
    <w:lvl w:ilvl="0" w:tplc="6A34DD54">
      <w:start w:val="1"/>
      <w:numFmt w:val="bullet"/>
      <w:pStyle w:val="NCBSecondaryBullet"/>
      <w:lvlText w:val="o"/>
      <w:lvlJc w:val="left"/>
      <w:pPr>
        <w:ind w:left="1500" w:hanging="360"/>
      </w:pPr>
      <w:rPr>
        <w:rFonts w:ascii="Courier New" w:hAnsi="Courier New" w:cs="Courier New"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 w15:restartNumberingAfterBreak="0">
    <w:nsid w:val="3EE92FAA"/>
    <w:multiLevelType w:val="hybridMultilevel"/>
    <w:tmpl w:val="3A36B6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0"/>
  </w:num>
  <w:num w:numId="7">
    <w:abstractNumId w:val="0"/>
    <w:lvlOverride w:ilvl="0"/>
    <w:lvlOverride w:ilvl="1"/>
    <w:lvlOverride w:ilvl="2"/>
    <w:lvlOverride w:ilvl="3"/>
    <w:lvlOverride w:ilvl="4"/>
    <w:lvlOverride w:ilvl="5"/>
    <w:lvlOverride w:ilvl="6"/>
    <w:lvlOverride w:ilvl="7"/>
    <w:lvlOverride w:ilvl="8"/>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F3"/>
    <w:rsid w:val="00747F2F"/>
    <w:rsid w:val="009A0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FC5A5-D702-4CB0-8BE4-A22D69FD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CF3"/>
    <w:pPr>
      <w:spacing w:after="200" w:line="288" w:lineRule="auto"/>
    </w:pPr>
    <w:rPr>
      <w:rFonts w:ascii="Calibri" w:hAnsi="Calibri" w:cs="Calibri"/>
      <w:sz w:val="21"/>
      <w:szCs w:val="21"/>
    </w:rPr>
  </w:style>
  <w:style w:type="paragraph" w:styleId="Heading1">
    <w:name w:val="heading 1"/>
    <w:basedOn w:val="Normal"/>
    <w:link w:val="Heading1Char"/>
    <w:uiPriority w:val="9"/>
    <w:qFormat/>
    <w:rsid w:val="009A0CF3"/>
    <w:pPr>
      <w:keepNext/>
      <w:spacing w:before="360" w:after="40" w:line="240" w:lineRule="auto"/>
      <w:outlineLvl w:val="0"/>
    </w:pPr>
    <w:rPr>
      <w:rFonts w:ascii="Calibri Light" w:hAnsi="Calibri Light" w:cs="Calibri Light"/>
      <w:color w:val="538135"/>
      <w:kern w:val="36"/>
      <w:sz w:val="40"/>
      <w:szCs w:val="40"/>
    </w:rPr>
  </w:style>
  <w:style w:type="paragraph" w:styleId="Heading2">
    <w:name w:val="heading 2"/>
    <w:basedOn w:val="Normal"/>
    <w:link w:val="Heading2Char"/>
    <w:uiPriority w:val="9"/>
    <w:semiHidden/>
    <w:unhideWhenUsed/>
    <w:qFormat/>
    <w:rsid w:val="009A0CF3"/>
    <w:pPr>
      <w:keepNext/>
      <w:spacing w:before="80" w:after="0" w:line="240" w:lineRule="auto"/>
      <w:outlineLvl w:val="1"/>
    </w:pPr>
    <w:rPr>
      <w:rFonts w:ascii="Calibri Light" w:hAnsi="Calibri Light" w:cs="Calibri Light"/>
      <w:color w:val="538135"/>
      <w:sz w:val="28"/>
      <w:szCs w:val="28"/>
    </w:rPr>
  </w:style>
  <w:style w:type="paragraph" w:styleId="Heading3">
    <w:name w:val="heading 3"/>
    <w:basedOn w:val="Normal"/>
    <w:link w:val="Heading3Char"/>
    <w:uiPriority w:val="9"/>
    <w:semiHidden/>
    <w:unhideWhenUsed/>
    <w:qFormat/>
    <w:rsid w:val="009A0CF3"/>
    <w:pPr>
      <w:keepNext/>
      <w:spacing w:before="80" w:after="0" w:line="240" w:lineRule="auto"/>
      <w:outlineLvl w:val="2"/>
    </w:pPr>
    <w:rPr>
      <w:rFonts w:ascii="Calibri Light" w:hAnsi="Calibri Light" w:cs="Calibri Light"/>
      <w:color w:val="538135"/>
      <w:sz w:val="24"/>
      <w:szCs w:val="24"/>
    </w:rPr>
  </w:style>
  <w:style w:type="paragraph" w:styleId="Heading4">
    <w:name w:val="heading 4"/>
    <w:basedOn w:val="Normal"/>
    <w:link w:val="Heading4Char"/>
    <w:uiPriority w:val="9"/>
    <w:semiHidden/>
    <w:unhideWhenUsed/>
    <w:qFormat/>
    <w:rsid w:val="009A0CF3"/>
    <w:pPr>
      <w:keepNext/>
      <w:spacing w:before="80" w:after="0"/>
      <w:outlineLvl w:val="3"/>
    </w:pPr>
    <w:rPr>
      <w:rFonts w:ascii="Calibri Light" w:hAnsi="Calibri Light" w:cs="Calibri Light"/>
      <w:color w:val="70AD47"/>
      <w:sz w:val="22"/>
      <w:szCs w:val="22"/>
    </w:rPr>
  </w:style>
  <w:style w:type="paragraph" w:styleId="Heading5">
    <w:name w:val="heading 5"/>
    <w:basedOn w:val="Normal"/>
    <w:link w:val="Heading5Char"/>
    <w:uiPriority w:val="9"/>
    <w:semiHidden/>
    <w:unhideWhenUsed/>
    <w:qFormat/>
    <w:rsid w:val="009A0CF3"/>
    <w:pPr>
      <w:keepNext/>
      <w:spacing w:before="40" w:after="0"/>
      <w:outlineLvl w:val="4"/>
    </w:pPr>
    <w:rPr>
      <w:rFonts w:ascii="Calibri Light" w:hAnsi="Calibri Light" w:cs="Calibri Light"/>
      <w:i/>
      <w:iCs/>
      <w:color w:val="70AD47"/>
      <w:sz w:val="22"/>
      <w:szCs w:val="22"/>
    </w:rPr>
  </w:style>
  <w:style w:type="paragraph" w:styleId="Heading6">
    <w:name w:val="heading 6"/>
    <w:basedOn w:val="Normal"/>
    <w:link w:val="Heading6Char"/>
    <w:uiPriority w:val="9"/>
    <w:semiHidden/>
    <w:unhideWhenUsed/>
    <w:qFormat/>
    <w:rsid w:val="009A0CF3"/>
    <w:pPr>
      <w:keepNext/>
      <w:spacing w:before="40" w:after="0"/>
      <w:outlineLvl w:val="5"/>
    </w:pPr>
    <w:rPr>
      <w:rFonts w:ascii="Calibri Light" w:hAnsi="Calibri Light" w:cs="Calibri Light"/>
      <w:color w:val="70AD47"/>
    </w:rPr>
  </w:style>
  <w:style w:type="paragraph" w:styleId="Heading7">
    <w:name w:val="heading 7"/>
    <w:basedOn w:val="Normal"/>
    <w:link w:val="Heading7Char"/>
    <w:uiPriority w:val="9"/>
    <w:semiHidden/>
    <w:unhideWhenUsed/>
    <w:qFormat/>
    <w:rsid w:val="009A0CF3"/>
    <w:pPr>
      <w:keepNext/>
      <w:spacing w:before="40" w:after="0"/>
      <w:outlineLvl w:val="6"/>
    </w:pPr>
    <w:rPr>
      <w:rFonts w:ascii="Calibri Light" w:hAnsi="Calibri Light" w:cs="Calibri Light"/>
      <w:b/>
      <w:bCs/>
      <w:color w:val="70AD47"/>
    </w:rPr>
  </w:style>
  <w:style w:type="paragraph" w:styleId="Heading8">
    <w:name w:val="heading 8"/>
    <w:basedOn w:val="Normal"/>
    <w:link w:val="Heading8Char"/>
    <w:uiPriority w:val="9"/>
    <w:semiHidden/>
    <w:unhideWhenUsed/>
    <w:qFormat/>
    <w:rsid w:val="009A0CF3"/>
    <w:pPr>
      <w:keepNext/>
      <w:spacing w:before="40" w:after="0"/>
      <w:outlineLvl w:val="7"/>
    </w:pPr>
    <w:rPr>
      <w:rFonts w:ascii="Calibri Light" w:hAnsi="Calibri Light" w:cs="Calibri Light"/>
      <w:b/>
      <w:bCs/>
      <w:i/>
      <w:iCs/>
      <w:color w:val="70AD47"/>
      <w:sz w:val="20"/>
      <w:szCs w:val="20"/>
    </w:rPr>
  </w:style>
  <w:style w:type="paragraph" w:styleId="Heading9">
    <w:name w:val="heading 9"/>
    <w:basedOn w:val="Normal"/>
    <w:link w:val="Heading9Char"/>
    <w:uiPriority w:val="9"/>
    <w:semiHidden/>
    <w:unhideWhenUsed/>
    <w:qFormat/>
    <w:rsid w:val="009A0CF3"/>
    <w:pPr>
      <w:keepNext/>
      <w:spacing w:before="40" w:after="0"/>
      <w:outlineLvl w:val="8"/>
    </w:pPr>
    <w:rPr>
      <w:rFonts w:ascii="Calibri Light" w:hAnsi="Calibri Light" w:cs="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F3"/>
    <w:rPr>
      <w:rFonts w:ascii="Calibri Light" w:hAnsi="Calibri Light" w:cs="Calibri Light"/>
      <w:color w:val="538135"/>
      <w:kern w:val="36"/>
      <w:sz w:val="40"/>
      <w:szCs w:val="40"/>
    </w:rPr>
  </w:style>
  <w:style w:type="character" w:customStyle="1" w:styleId="Heading2Char">
    <w:name w:val="Heading 2 Char"/>
    <w:basedOn w:val="DefaultParagraphFont"/>
    <w:link w:val="Heading2"/>
    <w:uiPriority w:val="9"/>
    <w:semiHidden/>
    <w:rsid w:val="009A0CF3"/>
    <w:rPr>
      <w:rFonts w:ascii="Calibri Light" w:hAnsi="Calibri Light" w:cs="Calibri Light"/>
      <w:color w:val="538135"/>
      <w:sz w:val="28"/>
      <w:szCs w:val="28"/>
    </w:rPr>
  </w:style>
  <w:style w:type="character" w:customStyle="1" w:styleId="Heading3Char">
    <w:name w:val="Heading 3 Char"/>
    <w:basedOn w:val="DefaultParagraphFont"/>
    <w:link w:val="Heading3"/>
    <w:uiPriority w:val="9"/>
    <w:semiHidden/>
    <w:rsid w:val="009A0CF3"/>
    <w:rPr>
      <w:rFonts w:ascii="Calibri Light" w:hAnsi="Calibri Light" w:cs="Calibri Light"/>
      <w:color w:val="538135"/>
      <w:sz w:val="24"/>
      <w:szCs w:val="24"/>
    </w:rPr>
  </w:style>
  <w:style w:type="character" w:customStyle="1" w:styleId="Heading4Char">
    <w:name w:val="Heading 4 Char"/>
    <w:basedOn w:val="DefaultParagraphFont"/>
    <w:link w:val="Heading4"/>
    <w:uiPriority w:val="9"/>
    <w:semiHidden/>
    <w:rsid w:val="009A0CF3"/>
    <w:rPr>
      <w:rFonts w:ascii="Calibri Light" w:hAnsi="Calibri Light" w:cs="Calibri Light"/>
      <w:color w:val="70AD47"/>
    </w:rPr>
  </w:style>
  <w:style w:type="character" w:customStyle="1" w:styleId="Heading5Char">
    <w:name w:val="Heading 5 Char"/>
    <w:basedOn w:val="DefaultParagraphFont"/>
    <w:link w:val="Heading5"/>
    <w:uiPriority w:val="9"/>
    <w:semiHidden/>
    <w:rsid w:val="009A0CF3"/>
    <w:rPr>
      <w:rFonts w:ascii="Calibri Light" w:hAnsi="Calibri Light" w:cs="Calibri Light"/>
      <w:i/>
      <w:iCs/>
      <w:color w:val="70AD47"/>
    </w:rPr>
  </w:style>
  <w:style w:type="character" w:customStyle="1" w:styleId="Heading6Char">
    <w:name w:val="Heading 6 Char"/>
    <w:basedOn w:val="DefaultParagraphFont"/>
    <w:link w:val="Heading6"/>
    <w:uiPriority w:val="9"/>
    <w:semiHidden/>
    <w:rsid w:val="009A0CF3"/>
    <w:rPr>
      <w:rFonts w:ascii="Calibri Light" w:hAnsi="Calibri Light" w:cs="Calibri Light"/>
      <w:color w:val="70AD47"/>
      <w:sz w:val="21"/>
      <w:szCs w:val="21"/>
    </w:rPr>
  </w:style>
  <w:style w:type="character" w:customStyle="1" w:styleId="Heading7Char">
    <w:name w:val="Heading 7 Char"/>
    <w:basedOn w:val="DefaultParagraphFont"/>
    <w:link w:val="Heading7"/>
    <w:uiPriority w:val="9"/>
    <w:semiHidden/>
    <w:rsid w:val="009A0CF3"/>
    <w:rPr>
      <w:rFonts w:ascii="Calibri Light" w:hAnsi="Calibri Light" w:cs="Calibri Light"/>
      <w:b/>
      <w:bCs/>
      <w:color w:val="70AD47"/>
      <w:sz w:val="21"/>
      <w:szCs w:val="21"/>
    </w:rPr>
  </w:style>
  <w:style w:type="character" w:customStyle="1" w:styleId="Heading8Char">
    <w:name w:val="Heading 8 Char"/>
    <w:basedOn w:val="DefaultParagraphFont"/>
    <w:link w:val="Heading8"/>
    <w:uiPriority w:val="9"/>
    <w:semiHidden/>
    <w:rsid w:val="009A0CF3"/>
    <w:rPr>
      <w:rFonts w:ascii="Calibri Light" w:hAnsi="Calibri Light" w:cs="Calibri Light"/>
      <w:b/>
      <w:bCs/>
      <w:i/>
      <w:iCs/>
      <w:color w:val="70AD47"/>
      <w:sz w:val="20"/>
      <w:szCs w:val="20"/>
    </w:rPr>
  </w:style>
  <w:style w:type="character" w:customStyle="1" w:styleId="Heading9Char">
    <w:name w:val="Heading 9 Char"/>
    <w:basedOn w:val="DefaultParagraphFont"/>
    <w:link w:val="Heading9"/>
    <w:uiPriority w:val="9"/>
    <w:semiHidden/>
    <w:rsid w:val="009A0CF3"/>
    <w:rPr>
      <w:rFonts w:ascii="Calibri Light" w:hAnsi="Calibri Light" w:cs="Calibri Light"/>
      <w:i/>
      <w:iCs/>
      <w:color w:val="70AD47"/>
      <w:sz w:val="20"/>
      <w:szCs w:val="20"/>
    </w:rPr>
  </w:style>
  <w:style w:type="character" w:styleId="Hyperlink">
    <w:name w:val="Hyperlink"/>
    <w:basedOn w:val="DefaultParagraphFont"/>
    <w:uiPriority w:val="99"/>
    <w:semiHidden/>
    <w:unhideWhenUsed/>
    <w:rsid w:val="009A0CF3"/>
    <w:rPr>
      <w:color w:val="0563C1"/>
      <w:u w:val="single"/>
    </w:rPr>
  </w:style>
  <w:style w:type="character" w:styleId="FollowedHyperlink">
    <w:name w:val="FollowedHyperlink"/>
    <w:basedOn w:val="DefaultParagraphFont"/>
    <w:uiPriority w:val="99"/>
    <w:semiHidden/>
    <w:unhideWhenUsed/>
    <w:rsid w:val="009A0CF3"/>
    <w:rPr>
      <w:color w:val="954F72"/>
      <w:u w:val="single"/>
    </w:rPr>
  </w:style>
  <w:style w:type="character" w:styleId="Emphasis">
    <w:name w:val="Emphasis"/>
    <w:basedOn w:val="DefaultParagraphFont"/>
    <w:uiPriority w:val="20"/>
    <w:qFormat/>
    <w:rsid w:val="009A0CF3"/>
    <w:rPr>
      <w:i/>
      <w:iCs/>
      <w:color w:val="70AD47"/>
    </w:rPr>
  </w:style>
  <w:style w:type="paragraph" w:customStyle="1" w:styleId="msonormal0">
    <w:name w:val="msonormal"/>
    <w:basedOn w:val="Normal"/>
    <w:rsid w:val="009A0CF3"/>
    <w:pPr>
      <w:spacing w:before="100" w:beforeAutospacing="1" w:after="100" w:afterAutospacing="1"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9A0CF3"/>
    <w:pPr>
      <w:spacing w:line="240" w:lineRule="auto"/>
    </w:pPr>
    <w:rPr>
      <w:sz w:val="20"/>
      <w:szCs w:val="20"/>
    </w:rPr>
  </w:style>
  <w:style w:type="character" w:customStyle="1" w:styleId="CommentTextChar">
    <w:name w:val="Comment Text Char"/>
    <w:basedOn w:val="DefaultParagraphFont"/>
    <w:link w:val="CommentText"/>
    <w:uiPriority w:val="99"/>
    <w:semiHidden/>
    <w:rsid w:val="009A0CF3"/>
    <w:rPr>
      <w:rFonts w:ascii="Calibri" w:hAnsi="Calibri" w:cs="Calibri"/>
      <w:sz w:val="20"/>
      <w:szCs w:val="20"/>
    </w:rPr>
  </w:style>
  <w:style w:type="paragraph" w:styleId="Header">
    <w:name w:val="header"/>
    <w:basedOn w:val="Normal"/>
    <w:link w:val="HeaderChar"/>
    <w:uiPriority w:val="99"/>
    <w:semiHidden/>
    <w:unhideWhenUsed/>
    <w:rsid w:val="009A0CF3"/>
    <w:pPr>
      <w:spacing w:after="0" w:line="240" w:lineRule="auto"/>
    </w:pPr>
  </w:style>
  <w:style w:type="character" w:customStyle="1" w:styleId="HeaderChar">
    <w:name w:val="Header Char"/>
    <w:basedOn w:val="DefaultParagraphFont"/>
    <w:link w:val="Header"/>
    <w:uiPriority w:val="99"/>
    <w:semiHidden/>
    <w:rsid w:val="009A0CF3"/>
    <w:rPr>
      <w:rFonts w:ascii="Calibri" w:hAnsi="Calibri" w:cs="Calibri"/>
      <w:sz w:val="21"/>
      <w:szCs w:val="21"/>
    </w:rPr>
  </w:style>
  <w:style w:type="paragraph" w:styleId="Footer">
    <w:name w:val="footer"/>
    <w:basedOn w:val="Normal"/>
    <w:link w:val="FooterChar"/>
    <w:uiPriority w:val="99"/>
    <w:semiHidden/>
    <w:unhideWhenUsed/>
    <w:rsid w:val="009A0CF3"/>
    <w:pPr>
      <w:spacing w:after="0" w:line="240" w:lineRule="auto"/>
    </w:pPr>
  </w:style>
  <w:style w:type="character" w:customStyle="1" w:styleId="FooterChar">
    <w:name w:val="Footer Char"/>
    <w:basedOn w:val="DefaultParagraphFont"/>
    <w:link w:val="Footer"/>
    <w:uiPriority w:val="99"/>
    <w:semiHidden/>
    <w:rsid w:val="009A0CF3"/>
    <w:rPr>
      <w:rFonts w:ascii="Calibri" w:hAnsi="Calibri" w:cs="Calibri"/>
      <w:sz w:val="21"/>
      <w:szCs w:val="21"/>
    </w:rPr>
  </w:style>
  <w:style w:type="paragraph" w:styleId="Caption">
    <w:name w:val="caption"/>
    <w:basedOn w:val="Normal"/>
    <w:uiPriority w:val="35"/>
    <w:semiHidden/>
    <w:unhideWhenUsed/>
    <w:qFormat/>
    <w:rsid w:val="009A0CF3"/>
    <w:pPr>
      <w:spacing w:line="240" w:lineRule="auto"/>
    </w:pPr>
    <w:rPr>
      <w:b/>
      <w:bCs/>
      <w:smallCaps/>
      <w:color w:val="595959"/>
    </w:rPr>
  </w:style>
  <w:style w:type="paragraph" w:styleId="Title">
    <w:name w:val="Title"/>
    <w:basedOn w:val="Normal"/>
    <w:link w:val="TitleChar"/>
    <w:uiPriority w:val="10"/>
    <w:qFormat/>
    <w:rsid w:val="009A0CF3"/>
    <w:pPr>
      <w:spacing w:after="0" w:line="240" w:lineRule="auto"/>
      <w:contextualSpacing/>
    </w:pPr>
    <w:rPr>
      <w:rFonts w:ascii="Calibri Light" w:hAnsi="Calibri Light" w:cs="Calibri Light"/>
      <w:color w:val="262626"/>
      <w:spacing w:val="-15"/>
      <w:sz w:val="96"/>
      <w:szCs w:val="96"/>
    </w:rPr>
  </w:style>
  <w:style w:type="character" w:customStyle="1" w:styleId="TitleChar">
    <w:name w:val="Title Char"/>
    <w:basedOn w:val="DefaultParagraphFont"/>
    <w:link w:val="Title"/>
    <w:uiPriority w:val="10"/>
    <w:rsid w:val="009A0CF3"/>
    <w:rPr>
      <w:rFonts w:ascii="Calibri Light" w:hAnsi="Calibri Light" w:cs="Calibri Light"/>
      <w:color w:val="262626"/>
      <w:spacing w:val="-15"/>
      <w:sz w:val="96"/>
      <w:szCs w:val="96"/>
    </w:rPr>
  </w:style>
  <w:style w:type="paragraph" w:styleId="Subtitle">
    <w:name w:val="Subtitle"/>
    <w:basedOn w:val="Normal"/>
    <w:link w:val="SubtitleChar"/>
    <w:uiPriority w:val="11"/>
    <w:qFormat/>
    <w:rsid w:val="009A0CF3"/>
    <w:pPr>
      <w:spacing w:line="240" w:lineRule="auto"/>
    </w:pPr>
    <w:rPr>
      <w:rFonts w:ascii="Calibri Light" w:hAnsi="Calibri Light" w:cs="Calibri Light"/>
      <w:sz w:val="30"/>
      <w:szCs w:val="30"/>
    </w:rPr>
  </w:style>
  <w:style w:type="character" w:customStyle="1" w:styleId="SubtitleChar">
    <w:name w:val="Subtitle Char"/>
    <w:basedOn w:val="DefaultParagraphFont"/>
    <w:link w:val="Subtitle"/>
    <w:uiPriority w:val="11"/>
    <w:rsid w:val="009A0CF3"/>
    <w:rPr>
      <w:rFonts w:ascii="Calibri Light" w:hAnsi="Calibri Light" w:cs="Calibri Light"/>
      <w:sz w:val="30"/>
      <w:szCs w:val="30"/>
    </w:rPr>
  </w:style>
  <w:style w:type="paragraph" w:styleId="CommentSubject">
    <w:name w:val="annotation subject"/>
    <w:basedOn w:val="Normal"/>
    <w:link w:val="CommentSubjectChar"/>
    <w:uiPriority w:val="99"/>
    <w:semiHidden/>
    <w:unhideWhenUsed/>
    <w:rsid w:val="009A0CF3"/>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9A0CF3"/>
    <w:rPr>
      <w:rFonts w:ascii="Calibri" w:hAnsi="Calibri" w:cs="Calibri"/>
      <w:b/>
      <w:bCs/>
      <w:sz w:val="20"/>
      <w:szCs w:val="20"/>
    </w:rPr>
  </w:style>
  <w:style w:type="paragraph" w:styleId="BalloonText">
    <w:name w:val="Balloon Text"/>
    <w:basedOn w:val="Normal"/>
    <w:link w:val="BalloonTextChar"/>
    <w:uiPriority w:val="99"/>
    <w:semiHidden/>
    <w:unhideWhenUsed/>
    <w:rsid w:val="009A0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F3"/>
    <w:rPr>
      <w:rFonts w:ascii="Segoe UI" w:hAnsi="Segoe UI" w:cs="Segoe UI"/>
      <w:sz w:val="18"/>
      <w:szCs w:val="18"/>
    </w:rPr>
  </w:style>
  <w:style w:type="paragraph" w:styleId="NoSpacing">
    <w:name w:val="No Spacing"/>
    <w:basedOn w:val="Normal"/>
    <w:uiPriority w:val="1"/>
    <w:qFormat/>
    <w:rsid w:val="009A0CF3"/>
    <w:pPr>
      <w:spacing w:after="0" w:line="240" w:lineRule="auto"/>
    </w:pPr>
  </w:style>
  <w:style w:type="character" w:customStyle="1" w:styleId="ListParagraphChar">
    <w:name w:val="List Paragraph Char"/>
    <w:basedOn w:val="DefaultParagraphFont"/>
    <w:link w:val="ListParagraph"/>
    <w:uiPriority w:val="34"/>
    <w:locked/>
    <w:rsid w:val="009A0CF3"/>
  </w:style>
  <w:style w:type="paragraph" w:styleId="ListParagraph">
    <w:name w:val="List Paragraph"/>
    <w:basedOn w:val="Normal"/>
    <w:link w:val="ListParagraphChar"/>
    <w:uiPriority w:val="34"/>
    <w:qFormat/>
    <w:rsid w:val="009A0CF3"/>
    <w:pPr>
      <w:ind w:left="720"/>
      <w:contextualSpacing/>
    </w:pPr>
    <w:rPr>
      <w:rFonts w:asciiTheme="minorHAnsi" w:hAnsiTheme="minorHAnsi" w:cstheme="minorBidi"/>
      <w:sz w:val="22"/>
      <w:szCs w:val="22"/>
    </w:rPr>
  </w:style>
  <w:style w:type="paragraph" w:styleId="Quote">
    <w:name w:val="Quote"/>
    <w:basedOn w:val="Normal"/>
    <w:link w:val="QuoteChar"/>
    <w:uiPriority w:val="29"/>
    <w:qFormat/>
    <w:rsid w:val="009A0CF3"/>
    <w:pPr>
      <w:spacing w:before="160"/>
      <w:ind w:left="720" w:right="720"/>
      <w:jc w:val="center"/>
    </w:pPr>
    <w:rPr>
      <w:i/>
      <w:iCs/>
      <w:color w:val="262626"/>
    </w:rPr>
  </w:style>
  <w:style w:type="character" w:customStyle="1" w:styleId="QuoteChar">
    <w:name w:val="Quote Char"/>
    <w:basedOn w:val="DefaultParagraphFont"/>
    <w:link w:val="Quote"/>
    <w:uiPriority w:val="29"/>
    <w:rsid w:val="009A0CF3"/>
    <w:rPr>
      <w:rFonts w:ascii="Calibri" w:hAnsi="Calibri" w:cs="Calibri"/>
      <w:i/>
      <w:iCs/>
      <w:color w:val="262626"/>
      <w:sz w:val="21"/>
      <w:szCs w:val="21"/>
    </w:rPr>
  </w:style>
  <w:style w:type="paragraph" w:styleId="IntenseQuote">
    <w:name w:val="Intense Quote"/>
    <w:basedOn w:val="Normal"/>
    <w:link w:val="IntenseQuoteChar"/>
    <w:uiPriority w:val="30"/>
    <w:qFormat/>
    <w:rsid w:val="009A0CF3"/>
    <w:pPr>
      <w:spacing w:before="160" w:after="160" w:line="264" w:lineRule="auto"/>
      <w:ind w:left="720" w:right="720"/>
      <w:jc w:val="center"/>
    </w:pPr>
    <w:rPr>
      <w:rFonts w:ascii="Calibri Light" w:hAnsi="Calibri Light" w:cs="Calibri Light"/>
      <w:i/>
      <w:iCs/>
      <w:color w:val="70AD47"/>
      <w:sz w:val="32"/>
      <w:szCs w:val="32"/>
    </w:rPr>
  </w:style>
  <w:style w:type="character" w:customStyle="1" w:styleId="IntenseQuoteChar">
    <w:name w:val="Intense Quote Char"/>
    <w:basedOn w:val="DefaultParagraphFont"/>
    <w:link w:val="IntenseQuote"/>
    <w:uiPriority w:val="30"/>
    <w:rsid w:val="009A0CF3"/>
    <w:rPr>
      <w:rFonts w:ascii="Calibri Light" w:hAnsi="Calibri Light" w:cs="Calibri Light"/>
      <w:i/>
      <w:iCs/>
      <w:color w:val="70AD47"/>
      <w:sz w:val="32"/>
      <w:szCs w:val="32"/>
    </w:rPr>
  </w:style>
  <w:style w:type="paragraph" w:styleId="TOCHeading">
    <w:name w:val="TOC Heading"/>
    <w:basedOn w:val="Normal"/>
    <w:uiPriority w:val="39"/>
    <w:semiHidden/>
    <w:unhideWhenUsed/>
    <w:qFormat/>
    <w:rsid w:val="009A0CF3"/>
    <w:pPr>
      <w:keepNext/>
      <w:spacing w:before="360" w:after="40" w:line="240" w:lineRule="auto"/>
    </w:pPr>
    <w:rPr>
      <w:rFonts w:ascii="Calibri Light" w:hAnsi="Calibri Light" w:cs="Calibri Light"/>
      <w:color w:val="538135"/>
      <w:sz w:val="40"/>
      <w:szCs w:val="40"/>
    </w:rPr>
  </w:style>
  <w:style w:type="character" w:customStyle="1" w:styleId="NCBHeadingChar">
    <w:name w:val="NCB_Heading Char"/>
    <w:basedOn w:val="DefaultParagraphFont"/>
    <w:link w:val="NCBHeading"/>
    <w:locked/>
    <w:rsid w:val="009A0CF3"/>
    <w:rPr>
      <w:rFonts w:ascii="Cera Round Pro" w:hAnsi="Cera Round Pro"/>
      <w:b/>
      <w:bCs/>
    </w:rPr>
  </w:style>
  <w:style w:type="paragraph" w:customStyle="1" w:styleId="NCBHeading">
    <w:name w:val="NCB_Heading"/>
    <w:basedOn w:val="Normal"/>
    <w:link w:val="NCBHeadingChar"/>
    <w:rsid w:val="009A0CF3"/>
    <w:pPr>
      <w:spacing w:after="360"/>
    </w:pPr>
    <w:rPr>
      <w:rFonts w:ascii="Cera Round Pro" w:hAnsi="Cera Round Pro" w:cstheme="minorBidi"/>
      <w:b/>
      <w:bCs/>
      <w:sz w:val="22"/>
      <w:szCs w:val="22"/>
    </w:rPr>
  </w:style>
  <w:style w:type="character" w:customStyle="1" w:styleId="NCBSubheadChar">
    <w:name w:val="NCBSubhead Char"/>
    <w:basedOn w:val="DefaultParagraphFont"/>
    <w:link w:val="NCBSubhead"/>
    <w:locked/>
    <w:rsid w:val="009A0CF3"/>
    <w:rPr>
      <w:rFonts w:ascii="Cera Pro" w:hAnsi="Cera Pro"/>
      <w:b/>
      <w:bCs/>
      <w:color w:val="1B1464"/>
    </w:rPr>
  </w:style>
  <w:style w:type="paragraph" w:customStyle="1" w:styleId="NCBSubhead">
    <w:name w:val="NCBSubhead"/>
    <w:basedOn w:val="Normal"/>
    <w:link w:val="NCBSubheadChar"/>
    <w:rsid w:val="009A0CF3"/>
    <w:pPr>
      <w:spacing w:before="360" w:after="160"/>
    </w:pPr>
    <w:rPr>
      <w:rFonts w:ascii="Cera Pro" w:hAnsi="Cera Pro" w:cstheme="minorBidi"/>
      <w:b/>
      <w:bCs/>
      <w:color w:val="1B1464"/>
      <w:sz w:val="22"/>
      <w:szCs w:val="22"/>
    </w:rPr>
  </w:style>
  <w:style w:type="character" w:customStyle="1" w:styleId="NCBBodyChar">
    <w:name w:val="NCB_Body Char"/>
    <w:basedOn w:val="DefaultParagraphFont"/>
    <w:link w:val="NCBBody"/>
    <w:locked/>
    <w:rsid w:val="009A0CF3"/>
    <w:rPr>
      <w:rFonts w:ascii="Cera Pro" w:hAnsi="Cera Pro"/>
      <w:color w:val="1B1464"/>
    </w:rPr>
  </w:style>
  <w:style w:type="paragraph" w:customStyle="1" w:styleId="NCBBody">
    <w:name w:val="NCB_Body"/>
    <w:basedOn w:val="Normal"/>
    <w:link w:val="NCBBodyChar"/>
    <w:rsid w:val="009A0CF3"/>
    <w:pPr>
      <w:spacing w:after="160" w:line="264" w:lineRule="auto"/>
    </w:pPr>
    <w:rPr>
      <w:rFonts w:ascii="Cera Pro" w:hAnsi="Cera Pro" w:cstheme="minorBidi"/>
      <w:color w:val="1B1464"/>
      <w:sz w:val="22"/>
      <w:szCs w:val="22"/>
    </w:rPr>
  </w:style>
  <w:style w:type="character" w:customStyle="1" w:styleId="NCBBulletBodyChar">
    <w:name w:val="NCB_Bullet_Body Char"/>
    <w:basedOn w:val="DefaultParagraphFont"/>
    <w:link w:val="NCBBulletBody"/>
    <w:locked/>
    <w:rsid w:val="009A0CF3"/>
    <w:rPr>
      <w:rFonts w:ascii="Cera Pro" w:hAnsi="Cera Pro"/>
    </w:rPr>
  </w:style>
  <w:style w:type="paragraph" w:customStyle="1" w:styleId="NCBBulletBody">
    <w:name w:val="NCB_Bullet_Body"/>
    <w:basedOn w:val="Normal"/>
    <w:link w:val="NCBBulletBodyChar"/>
    <w:rsid w:val="009A0CF3"/>
    <w:pPr>
      <w:numPr>
        <w:numId w:val="1"/>
      </w:numPr>
      <w:spacing w:after="0" w:line="264" w:lineRule="auto"/>
      <w:contextualSpacing/>
    </w:pPr>
    <w:rPr>
      <w:rFonts w:ascii="Cera Pro" w:hAnsi="Cera Pro" w:cstheme="minorBidi"/>
      <w:sz w:val="22"/>
      <w:szCs w:val="22"/>
    </w:rPr>
  </w:style>
  <w:style w:type="character" w:customStyle="1" w:styleId="NCBSecondaryBulletChar">
    <w:name w:val="NCB_SecondaryBullet Char"/>
    <w:basedOn w:val="DefaultParagraphFont"/>
    <w:link w:val="NCBSecondaryBullet"/>
    <w:locked/>
    <w:rsid w:val="009A0CF3"/>
    <w:rPr>
      <w:rFonts w:ascii="Cera Pro" w:hAnsi="Cera Pro"/>
    </w:rPr>
  </w:style>
  <w:style w:type="paragraph" w:customStyle="1" w:styleId="NCBSecondaryBullet">
    <w:name w:val="NCB_SecondaryBullet"/>
    <w:basedOn w:val="Normal"/>
    <w:link w:val="NCBSecondaryBulletChar"/>
    <w:rsid w:val="009A0CF3"/>
    <w:pPr>
      <w:numPr>
        <w:numId w:val="3"/>
      </w:numPr>
      <w:spacing w:after="0" w:line="264" w:lineRule="auto"/>
      <w:ind w:left="1497" w:hanging="357"/>
      <w:contextualSpacing/>
    </w:pPr>
    <w:rPr>
      <w:rFonts w:ascii="Cera Pro" w:hAnsi="Cera Pro" w:cstheme="minorBidi"/>
      <w:sz w:val="22"/>
      <w:szCs w:val="22"/>
    </w:rPr>
  </w:style>
  <w:style w:type="character" w:customStyle="1" w:styleId="Subheading2Char">
    <w:name w:val="Subheading 2 Char"/>
    <w:basedOn w:val="DefaultParagraphFont"/>
    <w:link w:val="Subheading2"/>
    <w:locked/>
    <w:rsid w:val="009A0CF3"/>
    <w:rPr>
      <w:rFonts w:ascii="Cera Pro" w:hAnsi="Cera Pro"/>
      <w:b/>
      <w:bCs/>
      <w:color w:val="ED7D31"/>
    </w:rPr>
  </w:style>
  <w:style w:type="paragraph" w:customStyle="1" w:styleId="Subheading2">
    <w:name w:val="Subheading 2"/>
    <w:basedOn w:val="Normal"/>
    <w:link w:val="Subheading2Char"/>
    <w:rsid w:val="009A0CF3"/>
    <w:pPr>
      <w:spacing w:before="360" w:after="160"/>
    </w:pPr>
    <w:rPr>
      <w:rFonts w:ascii="Cera Pro" w:hAnsi="Cera Pro" w:cstheme="minorBidi"/>
      <w:b/>
      <w:bCs/>
      <w:color w:val="ED7D31"/>
      <w:sz w:val="22"/>
      <w:szCs w:val="22"/>
    </w:rPr>
  </w:style>
  <w:style w:type="paragraph" w:customStyle="1" w:styleId="xmsolistparagraph">
    <w:name w:val="x_msolistparagraph"/>
    <w:basedOn w:val="Normal"/>
    <w:rsid w:val="009A0CF3"/>
    <w:pPr>
      <w:spacing w:before="100" w:beforeAutospacing="1" w:after="100" w:afterAutospacing="1" w:line="240" w:lineRule="auto"/>
    </w:pPr>
    <w:rPr>
      <w:rFonts w:ascii="Times New Roman" w:hAnsi="Times New Roman" w:cs="Times New Roman"/>
      <w:sz w:val="24"/>
      <w:szCs w:val="24"/>
      <w:lang w:eastAsia="en-GB"/>
    </w:rPr>
  </w:style>
  <w:style w:type="character" w:styleId="SubtleEmphasis">
    <w:name w:val="Subtle Emphasis"/>
    <w:basedOn w:val="DefaultParagraphFont"/>
    <w:uiPriority w:val="19"/>
    <w:qFormat/>
    <w:rsid w:val="009A0CF3"/>
    <w:rPr>
      <w:i/>
      <w:iCs/>
    </w:rPr>
  </w:style>
  <w:style w:type="character" w:styleId="IntenseEmphasis">
    <w:name w:val="Intense Emphasis"/>
    <w:basedOn w:val="DefaultParagraphFont"/>
    <w:uiPriority w:val="21"/>
    <w:qFormat/>
    <w:rsid w:val="009A0CF3"/>
    <w:rPr>
      <w:b/>
      <w:bCs/>
      <w:i/>
      <w:iCs/>
    </w:rPr>
  </w:style>
  <w:style w:type="character" w:styleId="SubtleReference">
    <w:name w:val="Subtle Reference"/>
    <w:basedOn w:val="DefaultParagraphFont"/>
    <w:uiPriority w:val="31"/>
    <w:qFormat/>
    <w:rsid w:val="009A0CF3"/>
    <w:rPr>
      <w:smallCaps/>
      <w:color w:val="595959"/>
    </w:rPr>
  </w:style>
  <w:style w:type="character" w:styleId="IntenseReference">
    <w:name w:val="Intense Reference"/>
    <w:basedOn w:val="DefaultParagraphFont"/>
    <w:uiPriority w:val="32"/>
    <w:qFormat/>
    <w:rsid w:val="009A0CF3"/>
    <w:rPr>
      <w:b/>
      <w:bCs/>
      <w:smallCaps/>
      <w:color w:val="70AD47"/>
    </w:rPr>
  </w:style>
  <w:style w:type="character" w:styleId="BookTitle">
    <w:name w:val="Book Title"/>
    <w:basedOn w:val="DefaultParagraphFont"/>
    <w:uiPriority w:val="33"/>
    <w:qFormat/>
    <w:rsid w:val="009A0CF3"/>
    <w:rPr>
      <w:b/>
      <w:bCs/>
      <w:caps w:val="0"/>
      <w:smallCaps/>
      <w:spacing w:val="7"/>
    </w:rPr>
  </w:style>
  <w:style w:type="character" w:customStyle="1" w:styleId="emailstyle69">
    <w:name w:val="emailstyle69"/>
    <w:basedOn w:val="DefaultParagraphFont"/>
    <w:semiHidden/>
    <w:rsid w:val="009A0CF3"/>
    <w:rPr>
      <w:rFonts w:ascii="Calibri" w:hAnsi="Calibri" w:cs="Calibri" w:hint="default"/>
      <w:color w:val="auto"/>
    </w:rPr>
  </w:style>
  <w:style w:type="character" w:customStyle="1" w:styleId="UnresolvedMention">
    <w:name w:val="Unresolved Mention"/>
    <w:basedOn w:val="DefaultParagraphFont"/>
    <w:uiPriority w:val="99"/>
    <w:rsid w:val="009A0CF3"/>
    <w:rPr>
      <w:color w:val="605E5C"/>
      <w:shd w:val="clear" w:color="auto" w:fill="E1DFDD"/>
    </w:rPr>
  </w:style>
  <w:style w:type="character" w:customStyle="1" w:styleId="emailstyle71">
    <w:name w:val="emailstyle71"/>
    <w:basedOn w:val="DefaultParagraphFont"/>
    <w:semiHidden/>
    <w:rsid w:val="009A0CF3"/>
    <w:rPr>
      <w:rFonts w:ascii="Calibri" w:hAnsi="Calibri" w:cs="Calibri" w:hint="default"/>
      <w:color w:val="1F497D"/>
    </w:rPr>
  </w:style>
  <w:style w:type="character" w:customStyle="1" w:styleId="emailstyle72">
    <w:name w:val="emailstyle72"/>
    <w:basedOn w:val="DefaultParagraphFont"/>
    <w:semiHidden/>
    <w:rsid w:val="009A0CF3"/>
    <w:rPr>
      <w:rFonts w:ascii="Calibri" w:hAnsi="Calibri" w:cs="Calibri" w:hint="default"/>
      <w:color w:val="1F497D"/>
    </w:rPr>
  </w:style>
  <w:style w:type="character" w:customStyle="1" w:styleId="emailstyle73">
    <w:name w:val="emailstyle73"/>
    <w:basedOn w:val="DefaultParagraphFont"/>
    <w:semiHidden/>
    <w:rsid w:val="009A0CF3"/>
    <w:rPr>
      <w:rFonts w:asciiTheme="minorHAnsi" w:eastAsiaTheme="minorHAnsi" w:hAnsiTheme="minorHAnsi" w:cstheme="minorBidi" w:hint="default"/>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dchildpoverty.org.uk/wp-content/uploads/2020/10/Local-child-poverty-indicators-report-october-2020.docx" TargetMode="External"/><Relationship Id="rId13" Type="http://schemas.openxmlformats.org/officeDocument/2006/relationships/hyperlink" Target="http://www.endchildpoverty.org.uk/wp-content/uploads/2020/10/Local-child-poverty-indicators-report-october-2020.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38degrees.org.uk/petitions/don-t-cut-universal-credit-lifeline" TargetMode="External"/><Relationship Id="rId12" Type="http://schemas.openxmlformats.org/officeDocument/2006/relationships/hyperlink" Target="http://www.endchildpoverty.org.uk/wp-content/uploads/2020/10/Local-child-poverty-indicators-report-october-2020.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2.safelinks.protection.outlook.com/?url=http%3A%2F%2Fwww.endchildpoverty.org.uk%2F&amp;data=02%7C01%7Crnewson%40ncb.org.uk%7Ca868bf4030b64fad74fe08d833bf8720%7Cadc87355e29c4519954f95e35c776178%7C0%7C0%7C637316244992028784&amp;sdata=VZ147meKF9s%2BnshrN2xOjlL3Ml20%2F3iF%2BwMFVTR06vg%3D&amp;reserved=0" TargetMode="External"/><Relationship Id="rId1" Type="http://schemas.openxmlformats.org/officeDocument/2006/relationships/numbering" Target="numbering.xml"/><Relationship Id="rId6" Type="http://schemas.openxmlformats.org/officeDocument/2006/relationships/image" Target="cid:image002.png@01D6A151.FE7769F0" TargetMode="External"/><Relationship Id="rId11" Type="http://schemas.openxmlformats.org/officeDocument/2006/relationships/hyperlink" Target="mailto:jdickie@cpagscotland.org.uk" TargetMode="External"/><Relationship Id="rId5" Type="http://schemas.openxmlformats.org/officeDocument/2006/relationships/image" Target="media/image1.png"/><Relationship Id="rId15" Type="http://schemas.openxmlformats.org/officeDocument/2006/relationships/hyperlink" Target="http://www.endchildpoverty.org.uk/pms-use-of-child-poverty-statistics-misleading/" TargetMode="External"/><Relationship Id="rId10" Type="http://schemas.openxmlformats.org/officeDocument/2006/relationships/hyperlink" Target="http://www.endchildpoverty.org.uk" TargetMode="External"/><Relationship Id="rId4" Type="http://schemas.openxmlformats.org/officeDocument/2006/relationships/webSettings" Target="webSettings.xml"/><Relationship Id="rId9" Type="http://schemas.openxmlformats.org/officeDocument/2006/relationships/hyperlink" Target="http://www.endchildpoverty.org.uk/wp-content/uploads/2020/10/local-child-poverty-estimates-ahc-october-2020-1.xlsx" TargetMode="External"/><Relationship Id="rId14" Type="http://schemas.openxmlformats.org/officeDocument/2006/relationships/hyperlink" Target="http://www.endchildpover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Dickie</dc:creator>
  <cp:keywords/>
  <dc:description/>
  <cp:lastModifiedBy>John Dickie</cp:lastModifiedBy>
  <cp:revision>1</cp:revision>
  <dcterms:created xsi:type="dcterms:W3CDTF">2020-10-13T10:16:00Z</dcterms:created>
  <dcterms:modified xsi:type="dcterms:W3CDTF">2020-10-13T10:19:00Z</dcterms:modified>
</cp:coreProperties>
</file>