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3470E" w14:textId="77777777" w:rsidR="00DD6015" w:rsidRPr="002D4973" w:rsidRDefault="00DD6015" w:rsidP="00F54D99">
      <w:pPr>
        <w:pStyle w:val="NCBHeading"/>
        <w:rPr>
          <w:rFonts w:ascii="Century Gothic" w:hAnsi="Century Gothic"/>
        </w:rPr>
      </w:pPr>
      <w:r w:rsidRPr="002D4973">
        <w:rPr>
          <w:rFonts w:ascii="Century Gothic" w:hAnsi="Century Gothic" w:cstheme="minorBidi"/>
          <w:b w:val="0"/>
          <w:sz w:val="22"/>
          <w:szCs w:val="24"/>
        </w:rPr>
        <w:t>Media release</w:t>
      </w:r>
      <w:r w:rsidRPr="002D4973">
        <w:rPr>
          <w:rFonts w:ascii="Century Gothic" w:hAnsi="Century Gothic" w:cstheme="minorBidi"/>
          <w:b w:val="0"/>
          <w:sz w:val="22"/>
          <w:szCs w:val="24"/>
        </w:rPr>
        <w:br/>
        <w:t>Embargo</w:t>
      </w:r>
      <w:r w:rsidR="00DD2C3F" w:rsidRPr="002D4973">
        <w:rPr>
          <w:rFonts w:ascii="Century Gothic" w:hAnsi="Century Gothic" w:cstheme="minorBidi"/>
          <w:b w:val="0"/>
          <w:sz w:val="22"/>
          <w:szCs w:val="24"/>
        </w:rPr>
        <w:t>ed until: 00:01 14 October 2020</w:t>
      </w:r>
    </w:p>
    <w:p w14:paraId="0B19E9FA" w14:textId="778EE0B9" w:rsidR="00DD6015" w:rsidRPr="002D4973" w:rsidRDefault="00C61EE8" w:rsidP="00217681">
      <w:pPr>
        <w:pStyle w:val="NCBHeading"/>
        <w:spacing w:line="360" w:lineRule="auto"/>
        <w:jc w:val="center"/>
        <w:rPr>
          <w:rFonts w:ascii="Century Gothic" w:hAnsi="Century Gothic"/>
        </w:rPr>
      </w:pPr>
      <w:r w:rsidRPr="002D4973">
        <w:rPr>
          <w:rFonts w:ascii="Century Gothic" w:hAnsi="Century Gothic"/>
        </w:rPr>
        <w:t xml:space="preserve">New </w:t>
      </w:r>
      <w:r w:rsidR="00DA629B" w:rsidRPr="002D4973">
        <w:rPr>
          <w:rFonts w:ascii="Century Gothic" w:hAnsi="Century Gothic"/>
        </w:rPr>
        <w:t xml:space="preserve">London </w:t>
      </w:r>
      <w:r w:rsidRPr="002D4973">
        <w:rPr>
          <w:rFonts w:ascii="Century Gothic" w:hAnsi="Century Gothic"/>
        </w:rPr>
        <w:t>data reve</w:t>
      </w:r>
      <w:r w:rsidR="002525F4">
        <w:rPr>
          <w:rFonts w:ascii="Century Gothic" w:hAnsi="Century Gothic"/>
        </w:rPr>
        <w:t>a</w:t>
      </w:r>
      <w:r w:rsidRPr="002D4973">
        <w:rPr>
          <w:rFonts w:ascii="Century Gothic" w:hAnsi="Century Gothic"/>
        </w:rPr>
        <w:t xml:space="preserve">ls true extent of </w:t>
      </w:r>
      <w:r w:rsidR="002525F4">
        <w:rPr>
          <w:rFonts w:ascii="Century Gothic" w:hAnsi="Century Gothic"/>
        </w:rPr>
        <w:t xml:space="preserve">child poverty </w:t>
      </w:r>
      <w:r w:rsidR="006472C7" w:rsidRPr="002D4973">
        <w:rPr>
          <w:rFonts w:ascii="Century Gothic" w:hAnsi="Century Gothic"/>
        </w:rPr>
        <w:t>challenge</w:t>
      </w:r>
    </w:p>
    <w:p w14:paraId="26637756" w14:textId="16C53C32" w:rsidR="00DA629B" w:rsidRPr="002D4973" w:rsidRDefault="00DA629B" w:rsidP="00DA629B">
      <w:pPr>
        <w:pStyle w:val="NCBBulletBody"/>
        <w:spacing w:line="360" w:lineRule="auto"/>
        <w:ind w:left="714" w:hanging="357"/>
        <w:jc w:val="center"/>
        <w:rPr>
          <w:rFonts w:ascii="Century Gothic" w:hAnsi="Century Gothic"/>
          <w:b/>
        </w:rPr>
      </w:pPr>
      <w:r w:rsidRPr="002D4973">
        <w:rPr>
          <w:rFonts w:ascii="Century Gothic" w:hAnsi="Century Gothic"/>
          <w:b/>
        </w:rPr>
        <w:t xml:space="preserve"> London child poverty rate </w:t>
      </w:r>
      <w:r w:rsidR="000741E7">
        <w:rPr>
          <w:rFonts w:ascii="Century Gothic" w:hAnsi="Century Gothic"/>
          <w:b/>
        </w:rPr>
        <w:t xml:space="preserve">reaches </w:t>
      </w:r>
      <w:r w:rsidRPr="002D4973">
        <w:rPr>
          <w:rFonts w:ascii="Century Gothic" w:hAnsi="Century Gothic"/>
          <w:b/>
        </w:rPr>
        <w:t xml:space="preserve"> 39% - the highest </w:t>
      </w:r>
      <w:r w:rsidR="00A03BDF">
        <w:rPr>
          <w:rFonts w:ascii="Century Gothic" w:hAnsi="Century Gothic"/>
          <w:b/>
        </w:rPr>
        <w:t>of any UK region</w:t>
      </w:r>
      <w:r w:rsidRPr="002D4973">
        <w:rPr>
          <w:rFonts w:ascii="Century Gothic" w:hAnsi="Century Gothic"/>
          <w:b/>
        </w:rPr>
        <w:t xml:space="preserve">  -</w:t>
      </w:r>
      <w:r w:rsidRPr="00574F06">
        <w:rPr>
          <w:rFonts w:ascii="Century Gothic" w:hAnsi="Century Gothic"/>
          <w:b/>
        </w:rPr>
        <w:t>even before the pandemic</w:t>
      </w:r>
    </w:p>
    <w:p w14:paraId="7C31D6C9" w14:textId="00269F45" w:rsidR="00DD6015" w:rsidRPr="002D4973" w:rsidRDefault="00DA629B" w:rsidP="00217681">
      <w:pPr>
        <w:pStyle w:val="NCBBulletBody"/>
        <w:spacing w:line="360" w:lineRule="auto"/>
        <w:ind w:left="714" w:hanging="357"/>
        <w:rPr>
          <w:rFonts w:ascii="Century Gothic" w:hAnsi="Century Gothic"/>
          <w:b/>
        </w:rPr>
      </w:pPr>
      <w:r w:rsidRPr="002D4973">
        <w:rPr>
          <w:rFonts w:ascii="Century Gothic" w:hAnsi="Century Gothic"/>
          <w:b/>
        </w:rPr>
        <w:t>In 9 London constituencies more</w:t>
      </w:r>
      <w:r w:rsidR="006A0D49" w:rsidRPr="002D4973">
        <w:rPr>
          <w:rFonts w:ascii="Century Gothic" w:hAnsi="Century Gothic"/>
          <w:b/>
        </w:rPr>
        <w:t xml:space="preserve"> than half of childr</w:t>
      </w:r>
      <w:r w:rsidRPr="002D4973">
        <w:rPr>
          <w:rFonts w:ascii="Century Gothic" w:hAnsi="Century Gothic"/>
          <w:b/>
        </w:rPr>
        <w:t xml:space="preserve">en </w:t>
      </w:r>
      <w:r w:rsidR="006A0D49" w:rsidRPr="002D4973">
        <w:rPr>
          <w:rFonts w:ascii="Century Gothic" w:hAnsi="Century Gothic"/>
          <w:b/>
        </w:rPr>
        <w:t xml:space="preserve">are living in poverty after housing costs </w:t>
      </w:r>
      <w:r w:rsidR="00921803" w:rsidRPr="002D4973">
        <w:rPr>
          <w:rFonts w:ascii="Century Gothic" w:hAnsi="Century Gothic"/>
          <w:b/>
        </w:rPr>
        <w:t xml:space="preserve">are </w:t>
      </w:r>
      <w:r w:rsidR="006A0D49" w:rsidRPr="002D4973">
        <w:rPr>
          <w:rFonts w:ascii="Century Gothic" w:hAnsi="Century Gothic"/>
          <w:b/>
        </w:rPr>
        <w:t>factored in.</w:t>
      </w:r>
      <w:r w:rsidR="00DD6015" w:rsidRPr="002D4973">
        <w:rPr>
          <w:rFonts w:ascii="Century Gothic" w:hAnsi="Century Gothic"/>
          <w:b/>
        </w:rPr>
        <w:t xml:space="preserve"> </w:t>
      </w:r>
    </w:p>
    <w:p w14:paraId="3DAF1FFC" w14:textId="77777777" w:rsidR="002525F4" w:rsidRDefault="002525F4" w:rsidP="002525F4">
      <w:pPr>
        <w:pStyle w:val="NCBBulletBody"/>
        <w:numPr>
          <w:ilvl w:val="0"/>
          <w:numId w:val="0"/>
        </w:numPr>
        <w:spacing w:line="360" w:lineRule="auto"/>
        <w:ind w:left="714"/>
        <w:rPr>
          <w:rFonts w:ascii="Century Gothic" w:hAnsi="Century Gothic"/>
          <w:b/>
        </w:rPr>
      </w:pPr>
    </w:p>
    <w:p w14:paraId="6292BC1A" w14:textId="2641999F" w:rsidR="00921803" w:rsidRPr="002D4973" w:rsidRDefault="006A0D49" w:rsidP="00921803">
      <w:pPr>
        <w:pStyle w:val="NCBBulletBody"/>
        <w:spacing w:line="360" w:lineRule="auto"/>
        <w:ind w:left="714" w:hanging="357"/>
        <w:rPr>
          <w:rFonts w:ascii="Century Gothic" w:hAnsi="Century Gothic"/>
          <w:b/>
        </w:rPr>
      </w:pPr>
      <w:r w:rsidRPr="002D4973">
        <w:rPr>
          <w:rFonts w:ascii="Century Gothic" w:hAnsi="Century Gothic"/>
          <w:b/>
        </w:rPr>
        <w:t>L</w:t>
      </w:r>
      <w:r w:rsidR="00574F06">
        <w:rPr>
          <w:rFonts w:ascii="Century Gothic" w:hAnsi="Century Gothic"/>
          <w:b/>
        </w:rPr>
        <w:t>ondon l</w:t>
      </w:r>
      <w:r w:rsidRPr="002D4973">
        <w:rPr>
          <w:rFonts w:ascii="Century Gothic" w:hAnsi="Century Gothic"/>
          <w:b/>
        </w:rPr>
        <w:t>ocal authority and co</w:t>
      </w:r>
      <w:r w:rsidR="00574F06">
        <w:rPr>
          <w:rFonts w:ascii="Century Gothic" w:hAnsi="Century Gothic"/>
          <w:b/>
        </w:rPr>
        <w:t>nstituency data available below</w:t>
      </w:r>
    </w:p>
    <w:p w14:paraId="459BBF72" w14:textId="77777777" w:rsidR="00C90D4A" w:rsidRPr="002D4973" w:rsidRDefault="00C90D4A" w:rsidP="00C90D4A">
      <w:pPr>
        <w:pStyle w:val="NCBBulletBody"/>
        <w:numPr>
          <w:ilvl w:val="0"/>
          <w:numId w:val="0"/>
        </w:numPr>
        <w:spacing w:line="360" w:lineRule="auto"/>
        <w:ind w:left="714"/>
        <w:rPr>
          <w:rFonts w:ascii="Century Gothic" w:hAnsi="Century Gothic"/>
          <w:b/>
        </w:rPr>
      </w:pPr>
    </w:p>
    <w:p w14:paraId="01BC766C" w14:textId="59E38B1B" w:rsidR="001A1D51" w:rsidRPr="002D4973" w:rsidRDefault="00F81428" w:rsidP="00217681">
      <w:pPr>
        <w:spacing w:after="100" w:afterAutospacing="1" w:line="360" w:lineRule="auto"/>
        <w:rPr>
          <w:rFonts w:ascii="Century Gothic" w:hAnsi="Century Gothic"/>
        </w:rPr>
      </w:pPr>
      <w:r w:rsidRPr="002D4973">
        <w:rPr>
          <w:rFonts w:ascii="Century Gothic" w:hAnsi="Century Gothic"/>
        </w:rPr>
        <w:t xml:space="preserve">London’s child poverty rate rose to 39% in 2018-2019 - up from 37% the year before </w:t>
      </w:r>
      <w:proofErr w:type="gramStart"/>
      <w:r w:rsidRPr="002D4973">
        <w:rPr>
          <w:rFonts w:ascii="Century Gothic" w:hAnsi="Century Gothic"/>
        </w:rPr>
        <w:t xml:space="preserve">- </w:t>
      </w:r>
      <w:r w:rsidR="001A1D51" w:rsidRPr="002D4973">
        <w:rPr>
          <w:rFonts w:ascii="Century Gothic" w:hAnsi="Century Gothic"/>
        </w:rPr>
        <w:t xml:space="preserve"> according</w:t>
      </w:r>
      <w:proofErr w:type="gramEnd"/>
      <w:r w:rsidR="001A1D51" w:rsidRPr="002D4973">
        <w:rPr>
          <w:rFonts w:ascii="Century Gothic" w:hAnsi="Century Gothic"/>
        </w:rPr>
        <w:t xml:space="preserve"> to research</w:t>
      </w:r>
      <w:r w:rsidR="003B2331" w:rsidRPr="002D4973">
        <w:rPr>
          <w:rFonts w:ascii="Century Gothic" w:hAnsi="Century Gothic"/>
        </w:rPr>
        <w:t xml:space="preserve"> published today by the End Child Poverty coalition</w:t>
      </w:r>
      <w:r w:rsidRPr="002D4973">
        <w:rPr>
          <w:rFonts w:ascii="Century Gothic" w:hAnsi="Century Gothic"/>
        </w:rPr>
        <w:t xml:space="preserve">.  The increase shows </w:t>
      </w:r>
      <w:r w:rsidR="001A1D51" w:rsidRPr="002D4973">
        <w:rPr>
          <w:rFonts w:ascii="Century Gothic" w:hAnsi="Century Gothic"/>
        </w:rPr>
        <w:t xml:space="preserve">the scale of the challenge faced by government if it is to realise its ambition to build back better </w:t>
      </w:r>
      <w:r w:rsidR="00D2249B">
        <w:rPr>
          <w:rFonts w:ascii="Century Gothic" w:hAnsi="Century Gothic"/>
        </w:rPr>
        <w:t xml:space="preserve">after the pandemic. </w:t>
      </w:r>
      <w:r w:rsidR="001A1D51" w:rsidRPr="002D4973">
        <w:rPr>
          <w:rFonts w:ascii="Century Gothic" w:hAnsi="Century Gothic"/>
        </w:rPr>
        <w:t xml:space="preserve"> </w:t>
      </w:r>
    </w:p>
    <w:p w14:paraId="30750F33" w14:textId="5818419B" w:rsidR="00067CA8" w:rsidRPr="002D4973" w:rsidRDefault="00016CCB" w:rsidP="00067CA8">
      <w:pPr>
        <w:spacing w:after="100" w:afterAutospacing="1" w:line="360" w:lineRule="auto"/>
        <w:rPr>
          <w:rFonts w:ascii="Century Gothic" w:hAnsi="Century Gothic"/>
        </w:rPr>
      </w:pPr>
      <w:r w:rsidRPr="002D4973">
        <w:rPr>
          <w:rFonts w:ascii="Century Gothic" w:hAnsi="Century Gothic"/>
        </w:rPr>
        <w:t>The r</w:t>
      </w:r>
      <w:r w:rsidR="003B2331" w:rsidRPr="002D4973">
        <w:rPr>
          <w:rFonts w:ascii="Century Gothic" w:hAnsi="Century Gothic"/>
        </w:rPr>
        <w:t>esearch by Loughborough University shows that</w:t>
      </w:r>
      <w:r w:rsidR="001A1D51" w:rsidRPr="002D4973">
        <w:rPr>
          <w:rFonts w:ascii="Century Gothic" w:hAnsi="Century Gothic"/>
        </w:rPr>
        <w:t xml:space="preserve">, </w:t>
      </w:r>
      <w:r w:rsidR="008D0CC1" w:rsidRPr="002D4973">
        <w:rPr>
          <w:rFonts w:ascii="Century Gothic" w:hAnsi="Century Gothic"/>
        </w:rPr>
        <w:t xml:space="preserve">even </w:t>
      </w:r>
      <w:r w:rsidR="001A1D51" w:rsidRPr="002D4973">
        <w:rPr>
          <w:rFonts w:ascii="Century Gothic" w:hAnsi="Century Gothic"/>
        </w:rPr>
        <w:t xml:space="preserve">before the pandemic, </w:t>
      </w:r>
      <w:r w:rsidR="008D0CC1" w:rsidRPr="002D4973">
        <w:rPr>
          <w:rFonts w:ascii="Century Gothic" w:hAnsi="Century Gothic"/>
        </w:rPr>
        <w:t xml:space="preserve">London boroughs dominated the list of </w:t>
      </w:r>
      <w:r w:rsidR="00067CA8" w:rsidRPr="002D4973">
        <w:rPr>
          <w:rFonts w:ascii="Century Gothic" w:hAnsi="Century Gothic"/>
        </w:rPr>
        <w:t xml:space="preserve">UK </w:t>
      </w:r>
      <w:r w:rsidR="008D0CC1" w:rsidRPr="002D4973">
        <w:rPr>
          <w:rFonts w:ascii="Century Gothic" w:hAnsi="Century Gothic"/>
        </w:rPr>
        <w:t>local authorities where child poverty is highest</w:t>
      </w:r>
      <w:r w:rsidR="00CB0CDC">
        <w:rPr>
          <w:rFonts w:ascii="Century Gothic" w:hAnsi="Century Gothic"/>
        </w:rPr>
        <w:t>, with 14</w:t>
      </w:r>
      <w:r w:rsidR="00067CA8" w:rsidRPr="002D4973">
        <w:rPr>
          <w:rFonts w:ascii="Century Gothic" w:hAnsi="Century Gothic"/>
        </w:rPr>
        <w:t xml:space="preserve"> of the 20</w:t>
      </w:r>
      <w:r w:rsidR="00253FA8" w:rsidRPr="002D4973">
        <w:rPr>
          <w:rFonts w:ascii="Century Gothic" w:hAnsi="Century Gothic"/>
        </w:rPr>
        <w:t xml:space="preserve"> child poverty hotspot</w:t>
      </w:r>
      <w:r w:rsidR="00067CA8" w:rsidRPr="002D4973">
        <w:rPr>
          <w:rFonts w:ascii="Century Gothic" w:hAnsi="Century Gothic"/>
        </w:rPr>
        <w:t xml:space="preserve"> boroughs in the capital.   In nine </w:t>
      </w:r>
      <w:r w:rsidR="00AF38EA" w:rsidRPr="002D4973">
        <w:rPr>
          <w:rFonts w:ascii="Century Gothic" w:hAnsi="Century Gothic"/>
        </w:rPr>
        <w:t xml:space="preserve">London </w:t>
      </w:r>
      <w:r w:rsidR="00067CA8" w:rsidRPr="002D4973">
        <w:rPr>
          <w:rFonts w:ascii="Century Gothic" w:hAnsi="Century Gothic"/>
        </w:rPr>
        <w:t xml:space="preserve">parliamentary constituencies </w:t>
      </w:r>
      <w:r w:rsidR="00D11C6C">
        <w:rPr>
          <w:rFonts w:ascii="Century Gothic" w:hAnsi="Century Gothic"/>
        </w:rPr>
        <w:t xml:space="preserve">more than half of </w:t>
      </w:r>
      <w:r w:rsidR="00067CA8" w:rsidRPr="002D4973">
        <w:rPr>
          <w:rFonts w:ascii="Century Gothic" w:hAnsi="Century Gothic"/>
        </w:rPr>
        <w:t xml:space="preserve">children are living below the poverty line once housing costs </w:t>
      </w:r>
      <w:r w:rsidR="00AF38EA" w:rsidRPr="002D4973">
        <w:rPr>
          <w:rFonts w:ascii="Century Gothic" w:hAnsi="Century Gothic"/>
        </w:rPr>
        <w:t>are taken into account (tables below)</w:t>
      </w:r>
      <w:r w:rsidR="00CB0CDC">
        <w:rPr>
          <w:rFonts w:ascii="Century Gothic" w:hAnsi="Century Gothic"/>
        </w:rPr>
        <w:t>.</w:t>
      </w:r>
    </w:p>
    <w:p w14:paraId="43FFCD6A" w14:textId="317F39FA" w:rsidR="003F5F4F" w:rsidRPr="002D4973" w:rsidRDefault="002D4973" w:rsidP="00067CA8">
      <w:pPr>
        <w:spacing w:after="100" w:afterAutospacing="1" w:line="360" w:lineRule="auto"/>
        <w:rPr>
          <w:rFonts w:ascii="Century Gothic" w:hAnsi="Century Gothic"/>
        </w:rPr>
      </w:pPr>
      <w:r w:rsidRPr="002D4973">
        <w:rPr>
          <w:rFonts w:ascii="Century Gothic" w:hAnsi="Century Gothic"/>
        </w:rPr>
        <w:t xml:space="preserve">While </w:t>
      </w:r>
      <w:r w:rsidR="00AF38EA" w:rsidRPr="002D4973">
        <w:rPr>
          <w:rFonts w:ascii="Century Gothic" w:hAnsi="Century Gothic"/>
        </w:rPr>
        <w:t>London is not in the top 20</w:t>
      </w:r>
      <w:r w:rsidR="006F500F" w:rsidRPr="002D4973">
        <w:rPr>
          <w:rFonts w:ascii="Century Gothic" w:hAnsi="Century Gothic"/>
        </w:rPr>
        <w:t xml:space="preserve"> </w:t>
      </w:r>
      <w:r w:rsidR="00AF38EA" w:rsidRPr="002D4973">
        <w:rPr>
          <w:rFonts w:ascii="Century Gothic" w:hAnsi="Century Gothic"/>
        </w:rPr>
        <w:t xml:space="preserve">areas for the </w:t>
      </w:r>
      <w:r w:rsidR="006F500F" w:rsidRPr="002D4973">
        <w:rPr>
          <w:rFonts w:ascii="Century Gothic" w:hAnsi="Century Gothic"/>
        </w:rPr>
        <w:t>fas</w:t>
      </w:r>
      <w:r w:rsidR="00AF38EA" w:rsidRPr="002D4973">
        <w:rPr>
          <w:rFonts w:ascii="Century Gothic" w:hAnsi="Century Gothic"/>
        </w:rPr>
        <w:t>test</w:t>
      </w:r>
      <w:r w:rsidR="00B44623" w:rsidRPr="002D4973">
        <w:rPr>
          <w:rFonts w:ascii="Century Gothic" w:hAnsi="Century Gothic"/>
        </w:rPr>
        <w:t xml:space="preserve"> growth i</w:t>
      </w:r>
      <w:r w:rsidR="006F500F" w:rsidRPr="002D4973">
        <w:rPr>
          <w:rFonts w:ascii="Century Gothic" w:hAnsi="Century Gothic"/>
        </w:rPr>
        <w:t xml:space="preserve">n child poverty </w:t>
      </w:r>
      <w:proofErr w:type="gramStart"/>
      <w:r w:rsidR="006F500F" w:rsidRPr="002D4973">
        <w:rPr>
          <w:rFonts w:ascii="Century Gothic" w:hAnsi="Century Gothic"/>
        </w:rPr>
        <w:t>between 2014-15 –2018-</w:t>
      </w:r>
      <w:proofErr w:type="gramEnd"/>
      <w:r w:rsidR="006F500F" w:rsidRPr="002D4973">
        <w:rPr>
          <w:rFonts w:ascii="Century Gothic" w:hAnsi="Century Gothic"/>
        </w:rPr>
        <w:t>19</w:t>
      </w:r>
      <w:r w:rsidR="0063065B" w:rsidRPr="002D4973">
        <w:rPr>
          <w:rFonts w:ascii="Century Gothic" w:hAnsi="Century Gothic"/>
        </w:rPr>
        <w:t xml:space="preserve"> after hou</w:t>
      </w:r>
      <w:r w:rsidRPr="002D4973">
        <w:rPr>
          <w:rFonts w:ascii="Century Gothic" w:hAnsi="Century Gothic"/>
        </w:rPr>
        <w:t xml:space="preserve">sing costs are factored in, </w:t>
      </w:r>
      <w:r w:rsidR="006F500F" w:rsidRPr="002D4973">
        <w:rPr>
          <w:rFonts w:ascii="Century Gothic" w:hAnsi="Century Gothic"/>
        </w:rPr>
        <w:t>t</w:t>
      </w:r>
      <w:r w:rsidR="003F5F4F" w:rsidRPr="002D4973">
        <w:rPr>
          <w:rFonts w:ascii="Century Gothic" w:hAnsi="Century Gothic"/>
        </w:rPr>
        <w:t>he</w:t>
      </w:r>
      <w:r w:rsidR="005F3550" w:rsidRPr="002D4973">
        <w:rPr>
          <w:rFonts w:ascii="Century Gothic" w:hAnsi="Century Gothic"/>
        </w:rPr>
        <w:t xml:space="preserve"> </w:t>
      </w:r>
      <w:r w:rsidR="00AF38EA" w:rsidRPr="002D4973">
        <w:rPr>
          <w:rFonts w:ascii="Century Gothic" w:hAnsi="Century Gothic"/>
        </w:rPr>
        <w:t xml:space="preserve">new </w:t>
      </w:r>
      <w:r w:rsidR="005F3550" w:rsidRPr="002D4973">
        <w:rPr>
          <w:rFonts w:ascii="Century Gothic" w:hAnsi="Century Gothic"/>
        </w:rPr>
        <w:t>data shows the huge impact of</w:t>
      </w:r>
      <w:r w:rsidR="005A510A" w:rsidRPr="002D4973">
        <w:rPr>
          <w:rFonts w:ascii="Century Gothic" w:hAnsi="Century Gothic"/>
        </w:rPr>
        <w:t xml:space="preserve"> h</w:t>
      </w:r>
      <w:r w:rsidR="003F5F4F" w:rsidRPr="002D4973">
        <w:rPr>
          <w:rFonts w:ascii="Century Gothic" w:hAnsi="Century Gothic"/>
        </w:rPr>
        <w:t>igh hou</w:t>
      </w:r>
      <w:r w:rsidR="005F3550" w:rsidRPr="002D4973">
        <w:rPr>
          <w:rFonts w:ascii="Century Gothic" w:hAnsi="Century Gothic"/>
        </w:rPr>
        <w:t xml:space="preserve">sing costs on </w:t>
      </w:r>
      <w:r w:rsidR="003F5F4F" w:rsidRPr="002D4973">
        <w:rPr>
          <w:rFonts w:ascii="Century Gothic" w:hAnsi="Century Gothic"/>
        </w:rPr>
        <w:t xml:space="preserve">child poverty </w:t>
      </w:r>
      <w:r w:rsidR="005A510A" w:rsidRPr="002D4973">
        <w:rPr>
          <w:rFonts w:ascii="Century Gothic" w:hAnsi="Century Gothic"/>
        </w:rPr>
        <w:t>r</w:t>
      </w:r>
      <w:r w:rsidR="006F500F" w:rsidRPr="002D4973">
        <w:rPr>
          <w:rFonts w:ascii="Century Gothic" w:hAnsi="Century Gothic"/>
        </w:rPr>
        <w:t xml:space="preserve">ates in the capital </w:t>
      </w:r>
      <w:r w:rsidR="005A510A" w:rsidRPr="002D4973">
        <w:rPr>
          <w:rFonts w:ascii="Century Gothic" w:hAnsi="Century Gothic"/>
        </w:rPr>
        <w:t xml:space="preserve">(table below).  </w:t>
      </w:r>
      <w:r w:rsidR="0063065B" w:rsidRPr="002D4973">
        <w:rPr>
          <w:rFonts w:ascii="Century Gothic" w:hAnsi="Century Gothic"/>
        </w:rPr>
        <w:t>Whereas for the UK as a whole the child poverty rate is 10 percentage points higher once housing costs</w:t>
      </w:r>
      <w:r w:rsidR="00D11C6C">
        <w:rPr>
          <w:rFonts w:ascii="Century Gothic" w:hAnsi="Century Gothic"/>
        </w:rPr>
        <w:t xml:space="preserve"> are factored in</w:t>
      </w:r>
      <w:r w:rsidR="0063065B" w:rsidRPr="002D4973">
        <w:rPr>
          <w:rFonts w:ascii="Century Gothic" w:hAnsi="Century Gothic"/>
        </w:rPr>
        <w:t xml:space="preserve">, in London including housing costs </w:t>
      </w:r>
      <w:r w:rsidR="00A03BDF">
        <w:rPr>
          <w:rFonts w:ascii="Century Gothic" w:hAnsi="Century Gothic"/>
        </w:rPr>
        <w:t>increases child poverty to a greater degree</w:t>
      </w:r>
      <w:r w:rsidR="0063065B" w:rsidRPr="002D4973">
        <w:rPr>
          <w:rFonts w:ascii="Century Gothic" w:hAnsi="Century Gothic"/>
        </w:rPr>
        <w:t xml:space="preserve">.  </w:t>
      </w:r>
      <w:r w:rsidR="00574F06">
        <w:rPr>
          <w:rFonts w:ascii="Century Gothic" w:hAnsi="Century Gothic"/>
        </w:rPr>
        <w:t>For example, i</w:t>
      </w:r>
      <w:r w:rsidR="005A510A" w:rsidRPr="002D4973">
        <w:rPr>
          <w:rFonts w:ascii="Century Gothic" w:hAnsi="Century Gothic"/>
        </w:rPr>
        <w:t>gnoring housing costs, the child pover</w:t>
      </w:r>
      <w:r w:rsidR="0063065B" w:rsidRPr="002D4973">
        <w:rPr>
          <w:rFonts w:ascii="Century Gothic" w:hAnsi="Century Gothic"/>
        </w:rPr>
        <w:t xml:space="preserve">ty rate in Bethnal </w:t>
      </w:r>
      <w:r w:rsidR="00D82841" w:rsidRPr="002D4973">
        <w:rPr>
          <w:rFonts w:ascii="Century Gothic" w:hAnsi="Century Gothic"/>
        </w:rPr>
        <w:t>Green and Bow constituency</w:t>
      </w:r>
      <w:r w:rsidR="00574F06">
        <w:rPr>
          <w:rFonts w:ascii="Century Gothic" w:hAnsi="Century Gothic"/>
        </w:rPr>
        <w:t xml:space="preserve"> </w:t>
      </w:r>
      <w:r w:rsidR="00D82841" w:rsidRPr="002D4973">
        <w:rPr>
          <w:rFonts w:ascii="Century Gothic" w:hAnsi="Century Gothic"/>
        </w:rPr>
        <w:t xml:space="preserve">is 30%.  </w:t>
      </w:r>
      <w:r w:rsidR="005A510A" w:rsidRPr="002D4973">
        <w:rPr>
          <w:rFonts w:ascii="Century Gothic" w:hAnsi="Century Gothic"/>
        </w:rPr>
        <w:t xml:space="preserve">But if </w:t>
      </w:r>
      <w:r w:rsidR="006F500F" w:rsidRPr="002D4973">
        <w:rPr>
          <w:rFonts w:ascii="Century Gothic" w:hAnsi="Century Gothic"/>
        </w:rPr>
        <w:t xml:space="preserve">housing costs are </w:t>
      </w:r>
      <w:r w:rsidR="005A510A" w:rsidRPr="002D4973">
        <w:rPr>
          <w:rFonts w:ascii="Century Gothic" w:hAnsi="Century Gothic"/>
        </w:rPr>
        <w:t xml:space="preserve">factored </w:t>
      </w:r>
      <w:r w:rsidR="005A510A" w:rsidRPr="002D4973">
        <w:rPr>
          <w:rFonts w:ascii="Century Gothic" w:hAnsi="Century Gothic"/>
        </w:rPr>
        <w:lastRenderedPageBreak/>
        <w:t xml:space="preserve">in, </w:t>
      </w:r>
      <w:r w:rsidR="00A03BDF">
        <w:rPr>
          <w:rFonts w:ascii="Century Gothic" w:hAnsi="Century Gothic"/>
        </w:rPr>
        <w:t xml:space="preserve">as they should be, </w:t>
      </w:r>
      <w:r w:rsidR="00D82841" w:rsidRPr="002D4973">
        <w:rPr>
          <w:rFonts w:ascii="Century Gothic" w:hAnsi="Century Gothic"/>
        </w:rPr>
        <w:t xml:space="preserve">the rate is 61%.  In </w:t>
      </w:r>
      <w:r w:rsidR="00D82841" w:rsidRPr="002D4973">
        <w:rPr>
          <w:rFonts w:ascii="Century Gothic" w:hAnsi="Century Gothic" w:cs="Arial"/>
          <w:sz w:val="20"/>
          <w:szCs w:val="20"/>
        </w:rPr>
        <w:t xml:space="preserve">Hackney South and Shoreditch, ignoring housing costs, the rate is </w:t>
      </w:r>
      <w:r w:rsidR="00D82841" w:rsidRPr="002D4973">
        <w:rPr>
          <w:rFonts w:ascii="Century Gothic" w:hAnsi="Century Gothic"/>
        </w:rPr>
        <w:t>24%. That rises to 52% when housing costs are taken into account</w:t>
      </w:r>
      <w:r w:rsidR="00574F06">
        <w:rPr>
          <w:rFonts w:ascii="Century Gothic" w:hAnsi="Century Gothic"/>
        </w:rPr>
        <w:t>.</w:t>
      </w:r>
    </w:p>
    <w:p w14:paraId="4A5FA25D" w14:textId="5005A16D" w:rsidR="00067CA8" w:rsidRPr="002D4973" w:rsidRDefault="00067CA8" w:rsidP="00067CA8">
      <w:pPr>
        <w:spacing w:after="100" w:afterAutospacing="1" w:line="360" w:lineRule="auto"/>
        <w:rPr>
          <w:rFonts w:ascii="Century Gothic" w:hAnsi="Century Gothic"/>
          <w:b/>
          <w:bCs/>
          <w:sz w:val="24"/>
          <w:szCs w:val="24"/>
        </w:rPr>
      </w:pPr>
      <w:r w:rsidRPr="002D4973">
        <w:rPr>
          <w:rFonts w:ascii="Century Gothic" w:hAnsi="Century Gothic"/>
          <w:b/>
          <w:bCs/>
          <w:sz w:val="24"/>
          <w:szCs w:val="24"/>
        </w:rPr>
        <w:t>The 20 local authorities with highest child poverty rates, 2018/19</w:t>
      </w:r>
    </w:p>
    <w:tbl>
      <w:tblPr>
        <w:tblStyle w:val="TableGrid"/>
        <w:tblW w:w="0" w:type="auto"/>
        <w:tblLook w:val="04A0" w:firstRow="1" w:lastRow="0" w:firstColumn="1" w:lastColumn="0" w:noHBand="0" w:noVBand="1"/>
      </w:tblPr>
      <w:tblGrid>
        <w:gridCol w:w="3539"/>
        <w:gridCol w:w="4253"/>
      </w:tblGrid>
      <w:tr w:rsidR="00253FA8" w:rsidRPr="002D4973" w14:paraId="19772E61" w14:textId="77777777" w:rsidTr="00AF1476">
        <w:tc>
          <w:tcPr>
            <w:tcW w:w="3539" w:type="dxa"/>
            <w:shd w:val="clear" w:color="auto" w:fill="857DE5" w:themeFill="accent1" w:themeFillTint="66"/>
          </w:tcPr>
          <w:p w14:paraId="65BAADB1" w14:textId="77777777" w:rsidR="00253FA8" w:rsidRPr="002D4973" w:rsidRDefault="00253FA8" w:rsidP="00AF1476">
            <w:pPr>
              <w:rPr>
                <w:rFonts w:ascii="Century Gothic" w:eastAsia="Times New Roman" w:hAnsi="Century Gothic" w:cs="Calibri"/>
                <w:b/>
                <w:bCs/>
                <w:sz w:val="24"/>
                <w:szCs w:val="24"/>
                <w:lang w:eastAsia="en-GB"/>
              </w:rPr>
            </w:pPr>
            <w:r w:rsidRPr="002D4973">
              <w:rPr>
                <w:rFonts w:ascii="Century Gothic" w:eastAsia="Times New Roman" w:hAnsi="Century Gothic" w:cs="Calibri"/>
                <w:b/>
                <w:bCs/>
                <w:sz w:val="24"/>
                <w:szCs w:val="24"/>
                <w:lang w:eastAsia="en-GB"/>
              </w:rPr>
              <w:t>Local authority</w:t>
            </w:r>
          </w:p>
        </w:tc>
        <w:tc>
          <w:tcPr>
            <w:tcW w:w="4253" w:type="dxa"/>
            <w:shd w:val="clear" w:color="auto" w:fill="857DE5" w:themeFill="accent1" w:themeFillTint="66"/>
          </w:tcPr>
          <w:p w14:paraId="45A6577D" w14:textId="77777777" w:rsidR="00253FA8" w:rsidRPr="002D4973" w:rsidRDefault="00253FA8" w:rsidP="00AF1476">
            <w:pPr>
              <w:jc w:val="center"/>
              <w:rPr>
                <w:rFonts w:ascii="Century Gothic" w:eastAsia="Times New Roman" w:hAnsi="Century Gothic" w:cs="Calibri"/>
                <w:b/>
                <w:bCs/>
                <w:sz w:val="24"/>
                <w:szCs w:val="24"/>
                <w:lang w:eastAsia="en-GB"/>
              </w:rPr>
            </w:pPr>
            <w:r w:rsidRPr="002D4973">
              <w:rPr>
                <w:rFonts w:ascii="Century Gothic" w:eastAsia="Times New Roman" w:hAnsi="Century Gothic" w:cs="Calibri"/>
                <w:b/>
                <w:bCs/>
                <w:sz w:val="24"/>
                <w:szCs w:val="24"/>
                <w:lang w:eastAsia="en-GB"/>
              </w:rPr>
              <w:t>% of children below 60% median income after housing costs, 2018/19</w:t>
            </w:r>
          </w:p>
        </w:tc>
      </w:tr>
      <w:tr w:rsidR="00253FA8" w:rsidRPr="002D4973" w14:paraId="657F57C7" w14:textId="77777777" w:rsidTr="00AF1476">
        <w:tc>
          <w:tcPr>
            <w:tcW w:w="3539" w:type="dxa"/>
          </w:tcPr>
          <w:p w14:paraId="0C3AFC29" w14:textId="77777777" w:rsidR="00253FA8" w:rsidRPr="002D4973" w:rsidRDefault="00253FA8" w:rsidP="00AF1476">
            <w:pPr>
              <w:rPr>
                <w:rFonts w:ascii="Century Gothic" w:hAnsi="Century Gothic" w:cs="Calibri"/>
                <w:b/>
                <w:bCs/>
                <w:sz w:val="24"/>
                <w:szCs w:val="24"/>
              </w:rPr>
            </w:pPr>
            <w:r w:rsidRPr="002D4973">
              <w:rPr>
                <w:rFonts w:ascii="Century Gothic" w:hAnsi="Century Gothic" w:cs="Calibri"/>
                <w:b/>
                <w:bCs/>
                <w:sz w:val="24"/>
                <w:szCs w:val="24"/>
              </w:rPr>
              <w:t>UK</w:t>
            </w:r>
          </w:p>
        </w:tc>
        <w:tc>
          <w:tcPr>
            <w:tcW w:w="4253" w:type="dxa"/>
          </w:tcPr>
          <w:p w14:paraId="4DE857DB"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eastAsia="Times New Roman" w:hAnsi="Century Gothic" w:cs="Calibri"/>
                <w:b/>
                <w:bCs/>
                <w:sz w:val="24"/>
                <w:szCs w:val="24"/>
                <w:lang w:eastAsia="en-GB"/>
              </w:rPr>
              <w:t>30%</w:t>
            </w:r>
          </w:p>
        </w:tc>
      </w:tr>
      <w:tr w:rsidR="00253FA8" w:rsidRPr="002D4973" w14:paraId="0BE3FAA3" w14:textId="77777777" w:rsidTr="00AF1476">
        <w:tc>
          <w:tcPr>
            <w:tcW w:w="3539" w:type="dxa"/>
            <w:vAlign w:val="bottom"/>
          </w:tcPr>
          <w:p w14:paraId="61576AB9"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Tower Hamlets</w:t>
            </w:r>
          </w:p>
        </w:tc>
        <w:tc>
          <w:tcPr>
            <w:tcW w:w="4253" w:type="dxa"/>
            <w:vAlign w:val="bottom"/>
          </w:tcPr>
          <w:p w14:paraId="71A61797"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55.4%</w:t>
            </w:r>
          </w:p>
        </w:tc>
      </w:tr>
      <w:tr w:rsidR="00253FA8" w:rsidRPr="002D4973" w14:paraId="643FEC0A" w14:textId="77777777" w:rsidTr="00AF1476">
        <w:tc>
          <w:tcPr>
            <w:tcW w:w="3539" w:type="dxa"/>
            <w:vAlign w:val="bottom"/>
          </w:tcPr>
          <w:p w14:paraId="4412FF94"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Newham</w:t>
            </w:r>
          </w:p>
        </w:tc>
        <w:tc>
          <w:tcPr>
            <w:tcW w:w="4253" w:type="dxa"/>
            <w:vAlign w:val="bottom"/>
          </w:tcPr>
          <w:p w14:paraId="27E3ABBB"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50.3%</w:t>
            </w:r>
          </w:p>
        </w:tc>
      </w:tr>
      <w:tr w:rsidR="00253FA8" w:rsidRPr="002D4973" w14:paraId="572392C7" w14:textId="77777777" w:rsidTr="00AF1476">
        <w:tc>
          <w:tcPr>
            <w:tcW w:w="3539" w:type="dxa"/>
            <w:vAlign w:val="bottom"/>
          </w:tcPr>
          <w:p w14:paraId="034F23F0"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Barking and Dagenham</w:t>
            </w:r>
          </w:p>
        </w:tc>
        <w:tc>
          <w:tcPr>
            <w:tcW w:w="4253" w:type="dxa"/>
            <w:vAlign w:val="bottom"/>
          </w:tcPr>
          <w:p w14:paraId="0E225BAC"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49.9%</w:t>
            </w:r>
          </w:p>
        </w:tc>
      </w:tr>
      <w:tr w:rsidR="00253FA8" w:rsidRPr="002D4973" w14:paraId="261F1F67" w14:textId="77777777" w:rsidTr="00AF1476">
        <w:tc>
          <w:tcPr>
            <w:tcW w:w="3539" w:type="dxa"/>
            <w:vAlign w:val="bottom"/>
          </w:tcPr>
          <w:p w14:paraId="0AC2BD1B"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Hackney</w:t>
            </w:r>
          </w:p>
        </w:tc>
        <w:tc>
          <w:tcPr>
            <w:tcW w:w="4253" w:type="dxa"/>
            <w:vAlign w:val="bottom"/>
          </w:tcPr>
          <w:p w14:paraId="6BDD5BFE"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48.0%</w:t>
            </w:r>
          </w:p>
        </w:tc>
      </w:tr>
      <w:tr w:rsidR="00253FA8" w:rsidRPr="002D4973" w14:paraId="682EAC8F" w14:textId="77777777" w:rsidTr="00AF1476">
        <w:tc>
          <w:tcPr>
            <w:tcW w:w="3539" w:type="dxa"/>
            <w:vAlign w:val="bottom"/>
          </w:tcPr>
          <w:p w14:paraId="13047D46"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Waltham Forest</w:t>
            </w:r>
          </w:p>
        </w:tc>
        <w:tc>
          <w:tcPr>
            <w:tcW w:w="4253" w:type="dxa"/>
            <w:vAlign w:val="bottom"/>
          </w:tcPr>
          <w:p w14:paraId="2E46AB84"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47.4%</w:t>
            </w:r>
          </w:p>
        </w:tc>
      </w:tr>
      <w:tr w:rsidR="00253FA8" w:rsidRPr="002D4973" w14:paraId="568A00D1" w14:textId="77777777" w:rsidTr="00AF1476">
        <w:tc>
          <w:tcPr>
            <w:tcW w:w="3539" w:type="dxa"/>
            <w:vAlign w:val="bottom"/>
          </w:tcPr>
          <w:p w14:paraId="619EE056"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Southwark</w:t>
            </w:r>
          </w:p>
        </w:tc>
        <w:tc>
          <w:tcPr>
            <w:tcW w:w="4253" w:type="dxa"/>
            <w:vAlign w:val="bottom"/>
          </w:tcPr>
          <w:p w14:paraId="27111CC9"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44.3%</w:t>
            </w:r>
          </w:p>
        </w:tc>
      </w:tr>
      <w:tr w:rsidR="00253FA8" w:rsidRPr="002D4973" w14:paraId="729D225D" w14:textId="77777777" w:rsidTr="00AF1476">
        <w:tc>
          <w:tcPr>
            <w:tcW w:w="3539" w:type="dxa"/>
            <w:vAlign w:val="bottom"/>
          </w:tcPr>
          <w:p w14:paraId="074E3BCE"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Islington</w:t>
            </w:r>
          </w:p>
        </w:tc>
        <w:tc>
          <w:tcPr>
            <w:tcW w:w="4253" w:type="dxa"/>
            <w:vAlign w:val="bottom"/>
          </w:tcPr>
          <w:p w14:paraId="5F58F433"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43.4%</w:t>
            </w:r>
          </w:p>
        </w:tc>
      </w:tr>
      <w:tr w:rsidR="00253FA8" w:rsidRPr="002D4973" w14:paraId="1198172E" w14:textId="77777777" w:rsidTr="00AF1476">
        <w:tc>
          <w:tcPr>
            <w:tcW w:w="3539" w:type="dxa"/>
            <w:vAlign w:val="bottom"/>
          </w:tcPr>
          <w:p w14:paraId="113C41D3"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Greenwich</w:t>
            </w:r>
          </w:p>
        </w:tc>
        <w:tc>
          <w:tcPr>
            <w:tcW w:w="4253" w:type="dxa"/>
            <w:vAlign w:val="bottom"/>
          </w:tcPr>
          <w:p w14:paraId="4FB5EED4"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43.2%</w:t>
            </w:r>
          </w:p>
        </w:tc>
      </w:tr>
      <w:tr w:rsidR="00253FA8" w:rsidRPr="002D4973" w14:paraId="592F7229" w14:textId="77777777" w:rsidTr="00AF1476">
        <w:tc>
          <w:tcPr>
            <w:tcW w:w="3539" w:type="dxa"/>
            <w:vAlign w:val="bottom"/>
          </w:tcPr>
          <w:p w14:paraId="12BE0339"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Lambeth</w:t>
            </w:r>
          </w:p>
        </w:tc>
        <w:tc>
          <w:tcPr>
            <w:tcW w:w="4253" w:type="dxa"/>
            <w:vAlign w:val="bottom"/>
          </w:tcPr>
          <w:p w14:paraId="1E8E6E70"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43.0%</w:t>
            </w:r>
          </w:p>
        </w:tc>
      </w:tr>
      <w:tr w:rsidR="00253FA8" w:rsidRPr="002D4973" w14:paraId="35E9466C" w14:textId="77777777" w:rsidTr="00AF1476">
        <w:tc>
          <w:tcPr>
            <w:tcW w:w="3539" w:type="dxa"/>
            <w:vAlign w:val="bottom"/>
          </w:tcPr>
          <w:p w14:paraId="0C3B86EF"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Haringey</w:t>
            </w:r>
          </w:p>
        </w:tc>
        <w:tc>
          <w:tcPr>
            <w:tcW w:w="4253" w:type="dxa"/>
            <w:vAlign w:val="bottom"/>
          </w:tcPr>
          <w:p w14:paraId="62B431D9"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42.4%</w:t>
            </w:r>
          </w:p>
        </w:tc>
      </w:tr>
      <w:tr w:rsidR="00253FA8" w:rsidRPr="002D4973" w14:paraId="36094E59" w14:textId="77777777" w:rsidTr="00AF1476">
        <w:tc>
          <w:tcPr>
            <w:tcW w:w="3539" w:type="dxa"/>
            <w:vAlign w:val="bottom"/>
          </w:tcPr>
          <w:p w14:paraId="513F68FC"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Lewisham</w:t>
            </w:r>
          </w:p>
        </w:tc>
        <w:tc>
          <w:tcPr>
            <w:tcW w:w="4253" w:type="dxa"/>
            <w:vAlign w:val="bottom"/>
          </w:tcPr>
          <w:p w14:paraId="08AB7DE4"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42.0%</w:t>
            </w:r>
          </w:p>
        </w:tc>
      </w:tr>
      <w:tr w:rsidR="00253FA8" w:rsidRPr="002D4973" w14:paraId="4760032F" w14:textId="77777777" w:rsidTr="00AF1476">
        <w:tc>
          <w:tcPr>
            <w:tcW w:w="3539" w:type="dxa"/>
            <w:vAlign w:val="bottom"/>
          </w:tcPr>
          <w:p w14:paraId="1E0F80DB"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Birmingham</w:t>
            </w:r>
          </w:p>
        </w:tc>
        <w:tc>
          <w:tcPr>
            <w:tcW w:w="4253" w:type="dxa"/>
            <w:vAlign w:val="bottom"/>
          </w:tcPr>
          <w:p w14:paraId="53CF00D6"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41.6%</w:t>
            </w:r>
          </w:p>
        </w:tc>
      </w:tr>
      <w:tr w:rsidR="00253FA8" w:rsidRPr="002D4973" w14:paraId="61CEED61" w14:textId="77777777" w:rsidTr="00AF1476">
        <w:tc>
          <w:tcPr>
            <w:tcW w:w="3539" w:type="dxa"/>
            <w:vAlign w:val="bottom"/>
          </w:tcPr>
          <w:p w14:paraId="4966FC10"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Redbridge</w:t>
            </w:r>
          </w:p>
        </w:tc>
        <w:tc>
          <w:tcPr>
            <w:tcW w:w="4253" w:type="dxa"/>
            <w:vAlign w:val="bottom"/>
          </w:tcPr>
          <w:p w14:paraId="0EE0D16D"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41.3%</w:t>
            </w:r>
          </w:p>
        </w:tc>
      </w:tr>
      <w:tr w:rsidR="00253FA8" w:rsidRPr="002D4973" w14:paraId="268B8A74" w14:textId="77777777" w:rsidTr="00AF1476">
        <w:tc>
          <w:tcPr>
            <w:tcW w:w="3539" w:type="dxa"/>
            <w:vAlign w:val="bottom"/>
          </w:tcPr>
          <w:p w14:paraId="5A759793"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Middlesbrough</w:t>
            </w:r>
          </w:p>
        </w:tc>
        <w:tc>
          <w:tcPr>
            <w:tcW w:w="4253" w:type="dxa"/>
            <w:vAlign w:val="bottom"/>
          </w:tcPr>
          <w:p w14:paraId="6C44CD79"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41.1%</w:t>
            </w:r>
          </w:p>
        </w:tc>
      </w:tr>
      <w:tr w:rsidR="00253FA8" w:rsidRPr="002D4973" w14:paraId="17706E30" w14:textId="77777777" w:rsidTr="00AF1476">
        <w:tc>
          <w:tcPr>
            <w:tcW w:w="3539" w:type="dxa"/>
            <w:vAlign w:val="bottom"/>
          </w:tcPr>
          <w:p w14:paraId="524B4268"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Brent</w:t>
            </w:r>
          </w:p>
        </w:tc>
        <w:tc>
          <w:tcPr>
            <w:tcW w:w="4253" w:type="dxa"/>
            <w:vAlign w:val="bottom"/>
          </w:tcPr>
          <w:p w14:paraId="2C3F6773"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40.8%</w:t>
            </w:r>
          </w:p>
        </w:tc>
      </w:tr>
      <w:tr w:rsidR="00253FA8" w:rsidRPr="002D4973" w14:paraId="6EC01CCE" w14:textId="77777777" w:rsidTr="00AF1476">
        <w:tc>
          <w:tcPr>
            <w:tcW w:w="3539" w:type="dxa"/>
            <w:vAlign w:val="bottom"/>
          </w:tcPr>
          <w:p w14:paraId="4F3FDEE2"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Hounslow</w:t>
            </w:r>
          </w:p>
        </w:tc>
        <w:tc>
          <w:tcPr>
            <w:tcW w:w="4253" w:type="dxa"/>
            <w:vAlign w:val="bottom"/>
          </w:tcPr>
          <w:p w14:paraId="60566DD3"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40.8%</w:t>
            </w:r>
          </w:p>
        </w:tc>
      </w:tr>
      <w:tr w:rsidR="00253FA8" w:rsidRPr="002D4973" w14:paraId="5278318C" w14:textId="77777777" w:rsidTr="00AF1476">
        <w:tc>
          <w:tcPr>
            <w:tcW w:w="3539" w:type="dxa"/>
            <w:vAlign w:val="bottom"/>
          </w:tcPr>
          <w:p w14:paraId="5B1DECEA"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Manchester</w:t>
            </w:r>
          </w:p>
        </w:tc>
        <w:tc>
          <w:tcPr>
            <w:tcW w:w="4253" w:type="dxa"/>
            <w:vAlign w:val="bottom"/>
          </w:tcPr>
          <w:p w14:paraId="2616C45F"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40.6%</w:t>
            </w:r>
          </w:p>
        </w:tc>
      </w:tr>
      <w:tr w:rsidR="00253FA8" w:rsidRPr="002D4973" w14:paraId="291F4C3E" w14:textId="77777777" w:rsidTr="00AF1476">
        <w:tc>
          <w:tcPr>
            <w:tcW w:w="3539" w:type="dxa"/>
            <w:vAlign w:val="bottom"/>
          </w:tcPr>
          <w:p w14:paraId="6811BB2C"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Sandwell</w:t>
            </w:r>
          </w:p>
        </w:tc>
        <w:tc>
          <w:tcPr>
            <w:tcW w:w="4253" w:type="dxa"/>
            <w:vAlign w:val="bottom"/>
          </w:tcPr>
          <w:p w14:paraId="0B4675BB"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40.4%</w:t>
            </w:r>
          </w:p>
        </w:tc>
      </w:tr>
      <w:tr w:rsidR="00253FA8" w:rsidRPr="002D4973" w14:paraId="2AE8F7E9" w14:textId="77777777" w:rsidTr="00AF1476">
        <w:tc>
          <w:tcPr>
            <w:tcW w:w="3539" w:type="dxa"/>
            <w:vAlign w:val="bottom"/>
          </w:tcPr>
          <w:p w14:paraId="30BCC10A"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Oldham</w:t>
            </w:r>
          </w:p>
        </w:tc>
        <w:tc>
          <w:tcPr>
            <w:tcW w:w="4253" w:type="dxa"/>
            <w:vAlign w:val="bottom"/>
          </w:tcPr>
          <w:p w14:paraId="5446604B"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39.9%</w:t>
            </w:r>
          </w:p>
        </w:tc>
      </w:tr>
      <w:tr w:rsidR="00253FA8" w:rsidRPr="002D4973" w14:paraId="012CB144" w14:textId="77777777" w:rsidTr="00AF1476">
        <w:tc>
          <w:tcPr>
            <w:tcW w:w="3539" w:type="dxa"/>
            <w:vAlign w:val="bottom"/>
          </w:tcPr>
          <w:p w14:paraId="467B773E"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Luton</w:t>
            </w:r>
          </w:p>
        </w:tc>
        <w:tc>
          <w:tcPr>
            <w:tcW w:w="4253" w:type="dxa"/>
            <w:vAlign w:val="bottom"/>
          </w:tcPr>
          <w:p w14:paraId="099A57F3"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39.8%</w:t>
            </w:r>
          </w:p>
        </w:tc>
      </w:tr>
    </w:tbl>
    <w:p w14:paraId="030EB176" w14:textId="77777777" w:rsidR="00253FA8" w:rsidRPr="002D4973" w:rsidRDefault="00253FA8" w:rsidP="00067CA8">
      <w:pPr>
        <w:spacing w:after="100" w:afterAutospacing="1" w:line="360" w:lineRule="auto"/>
        <w:rPr>
          <w:rFonts w:ascii="Century Gothic" w:hAnsi="Century Gothic"/>
        </w:rPr>
      </w:pPr>
    </w:p>
    <w:p w14:paraId="65CFB790" w14:textId="6CC20147" w:rsidR="00253FA8" w:rsidRPr="002D4973" w:rsidRDefault="00253FA8" w:rsidP="00217681">
      <w:pPr>
        <w:spacing w:after="100" w:afterAutospacing="1" w:line="360" w:lineRule="auto"/>
        <w:rPr>
          <w:rFonts w:ascii="Century Gothic" w:hAnsi="Century Gothic"/>
        </w:rPr>
      </w:pPr>
      <w:r w:rsidRPr="002D4973">
        <w:rPr>
          <w:rFonts w:ascii="Century Gothic" w:hAnsi="Century Gothic"/>
          <w:b/>
          <w:bCs/>
          <w:sz w:val="24"/>
          <w:szCs w:val="24"/>
        </w:rPr>
        <w:t>The 20 parliamentary constituencies with highest child poverty rates, 2018/19</w:t>
      </w:r>
    </w:p>
    <w:tbl>
      <w:tblPr>
        <w:tblStyle w:val="TableGrid"/>
        <w:tblW w:w="0" w:type="auto"/>
        <w:tblLook w:val="04A0" w:firstRow="1" w:lastRow="0" w:firstColumn="1" w:lastColumn="0" w:noHBand="0" w:noVBand="1"/>
      </w:tblPr>
      <w:tblGrid>
        <w:gridCol w:w="3539"/>
        <w:gridCol w:w="3686"/>
      </w:tblGrid>
      <w:tr w:rsidR="00253FA8" w:rsidRPr="002D4973" w14:paraId="04CEC35A" w14:textId="77777777" w:rsidTr="00AF1476">
        <w:tc>
          <w:tcPr>
            <w:tcW w:w="3539" w:type="dxa"/>
            <w:shd w:val="clear" w:color="auto" w:fill="857DE5" w:themeFill="accent1" w:themeFillTint="66"/>
          </w:tcPr>
          <w:p w14:paraId="6AA87200" w14:textId="77777777" w:rsidR="00253FA8" w:rsidRPr="002D4973" w:rsidRDefault="00253FA8" w:rsidP="00AF1476">
            <w:pPr>
              <w:rPr>
                <w:rFonts w:ascii="Century Gothic" w:eastAsia="Times New Roman" w:hAnsi="Century Gothic" w:cs="Calibri"/>
                <w:b/>
                <w:bCs/>
                <w:sz w:val="24"/>
                <w:szCs w:val="24"/>
                <w:lang w:eastAsia="en-GB"/>
              </w:rPr>
            </w:pPr>
            <w:r w:rsidRPr="002D4973">
              <w:rPr>
                <w:rFonts w:ascii="Century Gothic" w:eastAsia="Times New Roman" w:hAnsi="Century Gothic" w:cs="Calibri"/>
                <w:b/>
                <w:bCs/>
                <w:sz w:val="24"/>
                <w:szCs w:val="24"/>
                <w:lang w:eastAsia="en-GB"/>
              </w:rPr>
              <w:t>Constituency</w:t>
            </w:r>
          </w:p>
        </w:tc>
        <w:tc>
          <w:tcPr>
            <w:tcW w:w="3686" w:type="dxa"/>
            <w:shd w:val="clear" w:color="auto" w:fill="857DE5" w:themeFill="accent1" w:themeFillTint="66"/>
          </w:tcPr>
          <w:p w14:paraId="5B2A676E" w14:textId="77777777" w:rsidR="00253FA8" w:rsidRPr="002D4973" w:rsidRDefault="00253FA8" w:rsidP="00AF1476">
            <w:pPr>
              <w:jc w:val="center"/>
              <w:rPr>
                <w:rFonts w:ascii="Century Gothic" w:eastAsia="Times New Roman" w:hAnsi="Century Gothic" w:cs="Calibri"/>
                <w:b/>
                <w:bCs/>
                <w:sz w:val="24"/>
                <w:szCs w:val="24"/>
                <w:lang w:eastAsia="en-GB"/>
              </w:rPr>
            </w:pPr>
            <w:r w:rsidRPr="002D4973">
              <w:rPr>
                <w:rFonts w:ascii="Century Gothic" w:eastAsia="Times New Roman" w:hAnsi="Century Gothic" w:cs="Calibri"/>
                <w:b/>
                <w:bCs/>
                <w:sz w:val="24"/>
                <w:szCs w:val="24"/>
                <w:lang w:eastAsia="en-GB"/>
              </w:rPr>
              <w:t>% of children below 60% median income after housing costs, 2018/19</w:t>
            </w:r>
          </w:p>
        </w:tc>
      </w:tr>
      <w:tr w:rsidR="00253FA8" w:rsidRPr="002D4973" w14:paraId="69F0CE7F" w14:textId="77777777" w:rsidTr="00AF1476">
        <w:tc>
          <w:tcPr>
            <w:tcW w:w="3539" w:type="dxa"/>
          </w:tcPr>
          <w:p w14:paraId="0B2905C0" w14:textId="77777777" w:rsidR="00253FA8" w:rsidRPr="002D4973" w:rsidRDefault="00253FA8" w:rsidP="00AF1476">
            <w:pPr>
              <w:rPr>
                <w:rFonts w:ascii="Century Gothic" w:hAnsi="Century Gothic" w:cs="Calibri"/>
                <w:b/>
                <w:bCs/>
                <w:sz w:val="24"/>
                <w:szCs w:val="24"/>
              </w:rPr>
            </w:pPr>
            <w:r w:rsidRPr="002D4973">
              <w:rPr>
                <w:rFonts w:ascii="Century Gothic" w:hAnsi="Century Gothic" w:cs="Calibri"/>
                <w:b/>
                <w:bCs/>
                <w:sz w:val="24"/>
                <w:szCs w:val="24"/>
              </w:rPr>
              <w:t>UK</w:t>
            </w:r>
          </w:p>
        </w:tc>
        <w:tc>
          <w:tcPr>
            <w:tcW w:w="3686" w:type="dxa"/>
          </w:tcPr>
          <w:p w14:paraId="3FCE571D"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eastAsia="Times New Roman" w:hAnsi="Century Gothic" w:cs="Calibri"/>
                <w:b/>
                <w:bCs/>
                <w:sz w:val="24"/>
                <w:szCs w:val="24"/>
                <w:lang w:eastAsia="en-GB"/>
              </w:rPr>
              <w:t>30%</w:t>
            </w:r>
          </w:p>
        </w:tc>
      </w:tr>
      <w:tr w:rsidR="00253FA8" w:rsidRPr="002D4973" w14:paraId="7FECF183" w14:textId="77777777" w:rsidTr="00AF1476">
        <w:tc>
          <w:tcPr>
            <w:tcW w:w="3539" w:type="dxa"/>
            <w:vAlign w:val="bottom"/>
          </w:tcPr>
          <w:p w14:paraId="562ECB9B"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 xml:space="preserve">Bethnal Green and Bow </w:t>
            </w:r>
          </w:p>
        </w:tc>
        <w:tc>
          <w:tcPr>
            <w:tcW w:w="3686" w:type="dxa"/>
            <w:vAlign w:val="bottom"/>
          </w:tcPr>
          <w:p w14:paraId="5C45E19B"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60.6%</w:t>
            </w:r>
          </w:p>
        </w:tc>
      </w:tr>
      <w:tr w:rsidR="00253FA8" w:rsidRPr="002D4973" w14:paraId="145218AF" w14:textId="77777777" w:rsidTr="00AF1476">
        <w:tc>
          <w:tcPr>
            <w:tcW w:w="3539" w:type="dxa"/>
            <w:vAlign w:val="bottom"/>
          </w:tcPr>
          <w:p w14:paraId="3FFA389C"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 xml:space="preserve">Birmingham Ladywood </w:t>
            </w:r>
          </w:p>
        </w:tc>
        <w:tc>
          <w:tcPr>
            <w:tcW w:w="3686" w:type="dxa"/>
            <w:vAlign w:val="bottom"/>
          </w:tcPr>
          <w:p w14:paraId="7D5A829F"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54.5%</w:t>
            </w:r>
          </w:p>
        </w:tc>
      </w:tr>
      <w:tr w:rsidR="00253FA8" w:rsidRPr="002D4973" w14:paraId="21731A34" w14:textId="77777777" w:rsidTr="00AF1476">
        <w:tc>
          <w:tcPr>
            <w:tcW w:w="3539" w:type="dxa"/>
            <w:vAlign w:val="bottom"/>
          </w:tcPr>
          <w:p w14:paraId="2C899C0F"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 xml:space="preserve">Birmingham Hodge Hill </w:t>
            </w:r>
          </w:p>
        </w:tc>
        <w:tc>
          <w:tcPr>
            <w:tcW w:w="3686" w:type="dxa"/>
            <w:vAlign w:val="bottom"/>
          </w:tcPr>
          <w:p w14:paraId="3634C4EA"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53.8%</w:t>
            </w:r>
          </w:p>
        </w:tc>
      </w:tr>
      <w:tr w:rsidR="00253FA8" w:rsidRPr="002D4973" w14:paraId="39E5F145" w14:textId="77777777" w:rsidTr="00AF1476">
        <w:tc>
          <w:tcPr>
            <w:tcW w:w="3539" w:type="dxa"/>
            <w:vAlign w:val="bottom"/>
          </w:tcPr>
          <w:p w14:paraId="57C10485"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 xml:space="preserve">West Ham  </w:t>
            </w:r>
          </w:p>
        </w:tc>
        <w:tc>
          <w:tcPr>
            <w:tcW w:w="3686" w:type="dxa"/>
            <w:vAlign w:val="bottom"/>
          </w:tcPr>
          <w:p w14:paraId="22D75509"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52.5%</w:t>
            </w:r>
          </w:p>
        </w:tc>
      </w:tr>
      <w:tr w:rsidR="00253FA8" w:rsidRPr="002D4973" w14:paraId="1CD7D1DD" w14:textId="77777777" w:rsidTr="00AF1476">
        <w:tc>
          <w:tcPr>
            <w:tcW w:w="3539" w:type="dxa"/>
            <w:vAlign w:val="bottom"/>
          </w:tcPr>
          <w:p w14:paraId="4565A3FB"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 xml:space="preserve">Birmingham Hall Green </w:t>
            </w:r>
          </w:p>
        </w:tc>
        <w:tc>
          <w:tcPr>
            <w:tcW w:w="3686" w:type="dxa"/>
            <w:vAlign w:val="bottom"/>
          </w:tcPr>
          <w:p w14:paraId="6750ABB3"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52.5%</w:t>
            </w:r>
          </w:p>
        </w:tc>
      </w:tr>
      <w:tr w:rsidR="00253FA8" w:rsidRPr="002D4973" w14:paraId="757CB728" w14:textId="77777777" w:rsidTr="00AF1476">
        <w:tc>
          <w:tcPr>
            <w:tcW w:w="3539" w:type="dxa"/>
            <w:vAlign w:val="bottom"/>
          </w:tcPr>
          <w:p w14:paraId="1E9ACAFA"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t xml:space="preserve">Poplar and </w:t>
            </w:r>
            <w:proofErr w:type="spellStart"/>
            <w:r w:rsidRPr="002D4973">
              <w:rPr>
                <w:rFonts w:ascii="Century Gothic" w:hAnsi="Century Gothic" w:cs="Arial"/>
                <w:sz w:val="20"/>
                <w:szCs w:val="20"/>
              </w:rPr>
              <w:t>Limehouse</w:t>
            </w:r>
            <w:proofErr w:type="spellEnd"/>
            <w:r w:rsidRPr="002D4973">
              <w:rPr>
                <w:rFonts w:ascii="Century Gothic" w:hAnsi="Century Gothic" w:cs="Arial"/>
                <w:sz w:val="20"/>
                <w:szCs w:val="20"/>
              </w:rPr>
              <w:t xml:space="preserve"> </w:t>
            </w:r>
          </w:p>
        </w:tc>
        <w:tc>
          <w:tcPr>
            <w:tcW w:w="3686" w:type="dxa"/>
            <w:vAlign w:val="bottom"/>
          </w:tcPr>
          <w:p w14:paraId="33699B6F"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52.4%</w:t>
            </w:r>
          </w:p>
        </w:tc>
      </w:tr>
      <w:tr w:rsidR="00253FA8" w:rsidRPr="002D4973" w14:paraId="1B5F3D28" w14:textId="77777777" w:rsidTr="00AF1476">
        <w:tc>
          <w:tcPr>
            <w:tcW w:w="3539" w:type="dxa"/>
            <w:vAlign w:val="bottom"/>
          </w:tcPr>
          <w:p w14:paraId="4C8B5E76" w14:textId="77777777" w:rsidR="00253FA8" w:rsidRPr="002D4973" w:rsidRDefault="00253FA8" w:rsidP="00AF1476">
            <w:pPr>
              <w:rPr>
                <w:rFonts w:ascii="Century Gothic" w:hAnsi="Century Gothic" w:cs="Calibri"/>
                <w:sz w:val="24"/>
                <w:szCs w:val="24"/>
              </w:rPr>
            </w:pPr>
            <w:r w:rsidRPr="002D4973">
              <w:rPr>
                <w:rFonts w:ascii="Century Gothic" w:hAnsi="Century Gothic" w:cs="Arial"/>
                <w:sz w:val="20"/>
                <w:szCs w:val="20"/>
              </w:rPr>
              <w:lastRenderedPageBreak/>
              <w:t xml:space="preserve">Hackney South and Shoreditch </w:t>
            </w:r>
          </w:p>
        </w:tc>
        <w:tc>
          <w:tcPr>
            <w:tcW w:w="3686" w:type="dxa"/>
            <w:vAlign w:val="bottom"/>
          </w:tcPr>
          <w:p w14:paraId="19B3A21F"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52.0%</w:t>
            </w:r>
          </w:p>
        </w:tc>
      </w:tr>
      <w:tr w:rsidR="00253FA8" w:rsidRPr="002D4973" w14:paraId="36E36D7A" w14:textId="77777777" w:rsidTr="00AF1476">
        <w:tc>
          <w:tcPr>
            <w:tcW w:w="3539" w:type="dxa"/>
            <w:vAlign w:val="bottom"/>
          </w:tcPr>
          <w:p w14:paraId="2FB9DC5B"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East Ham  </w:t>
            </w:r>
          </w:p>
        </w:tc>
        <w:tc>
          <w:tcPr>
            <w:tcW w:w="3686" w:type="dxa"/>
            <w:vAlign w:val="bottom"/>
          </w:tcPr>
          <w:p w14:paraId="08476B13"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51.3%</w:t>
            </w:r>
          </w:p>
        </w:tc>
      </w:tr>
      <w:tr w:rsidR="00253FA8" w:rsidRPr="002D4973" w14:paraId="7DCDE22B" w14:textId="77777777" w:rsidTr="00AF1476">
        <w:tc>
          <w:tcPr>
            <w:tcW w:w="3539" w:type="dxa"/>
            <w:vAlign w:val="bottom"/>
          </w:tcPr>
          <w:p w14:paraId="4DEBB64A"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Walthamstow</w:t>
            </w:r>
          </w:p>
        </w:tc>
        <w:tc>
          <w:tcPr>
            <w:tcW w:w="3686" w:type="dxa"/>
            <w:vAlign w:val="bottom"/>
          </w:tcPr>
          <w:p w14:paraId="66BD0DF8"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50.8%</w:t>
            </w:r>
          </w:p>
        </w:tc>
      </w:tr>
      <w:tr w:rsidR="00253FA8" w:rsidRPr="002D4973" w14:paraId="5AF438EA" w14:textId="77777777" w:rsidTr="00AF1476">
        <w:tc>
          <w:tcPr>
            <w:tcW w:w="3539" w:type="dxa"/>
            <w:vAlign w:val="bottom"/>
          </w:tcPr>
          <w:p w14:paraId="5E6A8E38"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Barking</w:t>
            </w:r>
          </w:p>
        </w:tc>
        <w:tc>
          <w:tcPr>
            <w:tcW w:w="3686" w:type="dxa"/>
            <w:vAlign w:val="bottom"/>
          </w:tcPr>
          <w:p w14:paraId="38DEEB43"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50.8%</w:t>
            </w:r>
          </w:p>
        </w:tc>
      </w:tr>
      <w:tr w:rsidR="00253FA8" w:rsidRPr="002D4973" w14:paraId="34818FB8" w14:textId="77777777" w:rsidTr="00AF1476">
        <w:tc>
          <w:tcPr>
            <w:tcW w:w="3539" w:type="dxa"/>
            <w:vAlign w:val="bottom"/>
          </w:tcPr>
          <w:p w14:paraId="66383F19"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Bermondsey and Old Southwark </w:t>
            </w:r>
          </w:p>
        </w:tc>
        <w:tc>
          <w:tcPr>
            <w:tcW w:w="3686" w:type="dxa"/>
            <w:vAlign w:val="bottom"/>
          </w:tcPr>
          <w:p w14:paraId="16D996F9"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50.3%</w:t>
            </w:r>
          </w:p>
        </w:tc>
      </w:tr>
      <w:tr w:rsidR="00253FA8" w:rsidRPr="002D4973" w14:paraId="350E2294" w14:textId="77777777" w:rsidTr="00AF1476">
        <w:tc>
          <w:tcPr>
            <w:tcW w:w="3539" w:type="dxa"/>
            <w:vAlign w:val="bottom"/>
          </w:tcPr>
          <w:p w14:paraId="697367B3"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Tottenham </w:t>
            </w:r>
          </w:p>
        </w:tc>
        <w:tc>
          <w:tcPr>
            <w:tcW w:w="3686" w:type="dxa"/>
            <w:vAlign w:val="bottom"/>
          </w:tcPr>
          <w:p w14:paraId="0B5E2069"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50.2%</w:t>
            </w:r>
          </w:p>
        </w:tc>
      </w:tr>
      <w:tr w:rsidR="00253FA8" w:rsidRPr="002D4973" w14:paraId="72200527" w14:textId="77777777" w:rsidTr="00AF1476">
        <w:tc>
          <w:tcPr>
            <w:tcW w:w="3539" w:type="dxa"/>
            <w:vAlign w:val="bottom"/>
          </w:tcPr>
          <w:p w14:paraId="7A5157B6"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Vauxhall </w:t>
            </w:r>
          </w:p>
        </w:tc>
        <w:tc>
          <w:tcPr>
            <w:tcW w:w="3686" w:type="dxa"/>
            <w:vAlign w:val="bottom"/>
          </w:tcPr>
          <w:p w14:paraId="1D9EDA0E"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49.7%</w:t>
            </w:r>
          </w:p>
        </w:tc>
      </w:tr>
      <w:tr w:rsidR="00253FA8" w:rsidRPr="002D4973" w14:paraId="429F05FF" w14:textId="77777777" w:rsidTr="00AF1476">
        <w:tc>
          <w:tcPr>
            <w:tcW w:w="3539" w:type="dxa"/>
            <w:vAlign w:val="bottom"/>
          </w:tcPr>
          <w:p w14:paraId="5172A09A"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Mitcham and Morden</w:t>
            </w:r>
          </w:p>
        </w:tc>
        <w:tc>
          <w:tcPr>
            <w:tcW w:w="3686" w:type="dxa"/>
            <w:vAlign w:val="bottom"/>
          </w:tcPr>
          <w:p w14:paraId="35882277"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48.5%</w:t>
            </w:r>
          </w:p>
        </w:tc>
      </w:tr>
      <w:tr w:rsidR="00253FA8" w:rsidRPr="002D4973" w14:paraId="2CFBA0A4" w14:textId="77777777" w:rsidTr="00AF1476">
        <w:tc>
          <w:tcPr>
            <w:tcW w:w="3539" w:type="dxa"/>
            <w:vAlign w:val="bottom"/>
          </w:tcPr>
          <w:p w14:paraId="69B5EE83"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Birmingham Perry Barr </w:t>
            </w:r>
          </w:p>
        </w:tc>
        <w:tc>
          <w:tcPr>
            <w:tcW w:w="3686" w:type="dxa"/>
            <w:vAlign w:val="bottom"/>
          </w:tcPr>
          <w:p w14:paraId="038C007E"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48.4%</w:t>
            </w:r>
          </w:p>
        </w:tc>
      </w:tr>
      <w:tr w:rsidR="00253FA8" w:rsidRPr="002D4973" w14:paraId="3CC0C4AC" w14:textId="77777777" w:rsidTr="00AF1476">
        <w:tc>
          <w:tcPr>
            <w:tcW w:w="3539" w:type="dxa"/>
            <w:vAlign w:val="bottom"/>
          </w:tcPr>
          <w:p w14:paraId="4C4E7644"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Warley</w:t>
            </w:r>
          </w:p>
        </w:tc>
        <w:tc>
          <w:tcPr>
            <w:tcW w:w="3686" w:type="dxa"/>
            <w:vAlign w:val="bottom"/>
          </w:tcPr>
          <w:p w14:paraId="791BDB80"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48.0%</w:t>
            </w:r>
          </w:p>
        </w:tc>
      </w:tr>
      <w:tr w:rsidR="00253FA8" w:rsidRPr="002D4973" w14:paraId="183AB2FA" w14:textId="77777777" w:rsidTr="00AF1476">
        <w:tc>
          <w:tcPr>
            <w:tcW w:w="3539" w:type="dxa"/>
            <w:vAlign w:val="bottom"/>
          </w:tcPr>
          <w:p w14:paraId="4A45C809"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Oldham West and Royton  </w:t>
            </w:r>
          </w:p>
        </w:tc>
        <w:tc>
          <w:tcPr>
            <w:tcW w:w="3686" w:type="dxa"/>
            <w:vAlign w:val="bottom"/>
          </w:tcPr>
          <w:p w14:paraId="7217DB08"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48.0%</w:t>
            </w:r>
          </w:p>
        </w:tc>
      </w:tr>
      <w:tr w:rsidR="00253FA8" w:rsidRPr="002D4973" w14:paraId="581C0714" w14:textId="77777777" w:rsidTr="00AF1476">
        <w:tc>
          <w:tcPr>
            <w:tcW w:w="3539" w:type="dxa"/>
            <w:vAlign w:val="bottom"/>
          </w:tcPr>
          <w:p w14:paraId="1EF0D80B"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Holborn and St Pancras  </w:t>
            </w:r>
          </w:p>
        </w:tc>
        <w:tc>
          <w:tcPr>
            <w:tcW w:w="3686" w:type="dxa"/>
            <w:vAlign w:val="bottom"/>
          </w:tcPr>
          <w:p w14:paraId="189CF2D1"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47.9%</w:t>
            </w:r>
          </w:p>
        </w:tc>
      </w:tr>
      <w:tr w:rsidR="00253FA8" w:rsidRPr="002D4973" w14:paraId="19D960B0" w14:textId="77777777" w:rsidTr="00AF1476">
        <w:tc>
          <w:tcPr>
            <w:tcW w:w="3539" w:type="dxa"/>
            <w:vAlign w:val="bottom"/>
          </w:tcPr>
          <w:p w14:paraId="46486B39"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Bradford West </w:t>
            </w:r>
          </w:p>
        </w:tc>
        <w:tc>
          <w:tcPr>
            <w:tcW w:w="3686" w:type="dxa"/>
            <w:vAlign w:val="bottom"/>
          </w:tcPr>
          <w:p w14:paraId="63464531"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47.8%</w:t>
            </w:r>
          </w:p>
        </w:tc>
      </w:tr>
      <w:tr w:rsidR="00253FA8" w:rsidRPr="002D4973" w14:paraId="5B314A1C" w14:textId="77777777" w:rsidTr="00AF1476">
        <w:tc>
          <w:tcPr>
            <w:tcW w:w="3539" w:type="dxa"/>
            <w:vAlign w:val="bottom"/>
          </w:tcPr>
          <w:p w14:paraId="435F0B64" w14:textId="77777777" w:rsidR="00253FA8" w:rsidRPr="002D4973" w:rsidRDefault="00253FA8" w:rsidP="00AF1476">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Manchester Gorton  </w:t>
            </w:r>
          </w:p>
        </w:tc>
        <w:tc>
          <w:tcPr>
            <w:tcW w:w="3686" w:type="dxa"/>
            <w:vAlign w:val="bottom"/>
          </w:tcPr>
          <w:p w14:paraId="3044D1CC" w14:textId="77777777" w:rsidR="00253FA8" w:rsidRPr="002D4973" w:rsidRDefault="00253FA8" w:rsidP="00AF1476">
            <w:pPr>
              <w:tabs>
                <w:tab w:val="decimal" w:pos="552"/>
              </w:tabs>
              <w:jc w:val="center"/>
              <w:rPr>
                <w:rFonts w:ascii="Century Gothic" w:hAnsi="Century Gothic" w:cs="Calibri"/>
                <w:sz w:val="24"/>
                <w:szCs w:val="24"/>
              </w:rPr>
            </w:pPr>
            <w:r w:rsidRPr="002D4973">
              <w:rPr>
                <w:rFonts w:ascii="Century Gothic" w:hAnsi="Century Gothic" w:cs="Arial"/>
                <w:sz w:val="20"/>
                <w:szCs w:val="20"/>
              </w:rPr>
              <w:t>47.6%</w:t>
            </w:r>
          </w:p>
        </w:tc>
      </w:tr>
    </w:tbl>
    <w:p w14:paraId="40FAA569" w14:textId="77777777" w:rsidR="00253FA8" w:rsidRPr="002D4973" w:rsidRDefault="00253FA8" w:rsidP="00217681">
      <w:pPr>
        <w:spacing w:after="100" w:afterAutospacing="1" w:line="360" w:lineRule="auto"/>
        <w:rPr>
          <w:rFonts w:ascii="Century Gothic" w:hAnsi="Century Gothic"/>
        </w:rPr>
      </w:pPr>
    </w:p>
    <w:p w14:paraId="5028672F" w14:textId="4FA82813" w:rsidR="003B2651" w:rsidRPr="002D4973" w:rsidRDefault="00E51C33" w:rsidP="00217681">
      <w:pPr>
        <w:spacing w:after="100" w:afterAutospacing="1" w:line="360" w:lineRule="auto"/>
        <w:rPr>
          <w:rFonts w:ascii="Century Gothic" w:hAnsi="Century Gothic"/>
        </w:rPr>
      </w:pPr>
      <w:r w:rsidRPr="002D4973">
        <w:rPr>
          <w:rFonts w:ascii="Century Gothic" w:hAnsi="Century Gothic"/>
        </w:rPr>
        <w:t xml:space="preserve">The impact of poverty on children is well documented with children from low income </w:t>
      </w:r>
      <w:r w:rsidR="00F6590F" w:rsidRPr="002D4973">
        <w:rPr>
          <w:rFonts w:ascii="Century Gothic" w:hAnsi="Century Gothic"/>
        </w:rPr>
        <w:t>families</w:t>
      </w:r>
      <w:r w:rsidRPr="002D4973">
        <w:rPr>
          <w:rFonts w:ascii="Century Gothic" w:hAnsi="Century Gothic"/>
        </w:rPr>
        <w:t xml:space="preserve"> more likely to experience worse physical and mental health; do less well in school; and have fewer opportunities in the future.</w:t>
      </w:r>
      <w:r w:rsidR="000314D7" w:rsidRPr="002D4973">
        <w:rPr>
          <w:rFonts w:ascii="Century Gothic" w:hAnsi="Century Gothic"/>
        </w:rPr>
        <w:t xml:space="preserve"> The coalition is calling on the Government to recognise the scale of the problem and </w:t>
      </w:r>
      <w:r w:rsidR="00A635B8" w:rsidRPr="002D4973">
        <w:rPr>
          <w:rFonts w:ascii="Century Gothic" w:hAnsi="Century Gothic"/>
        </w:rPr>
        <w:t>its impact on children’s lives</w:t>
      </w:r>
      <w:r w:rsidR="0069237C" w:rsidRPr="002D4973">
        <w:rPr>
          <w:rFonts w:ascii="Century Gothic" w:hAnsi="Century Gothic"/>
        </w:rPr>
        <w:t xml:space="preserve">. They are urging the Government to </w:t>
      </w:r>
      <w:r w:rsidR="000314D7" w:rsidRPr="002D4973">
        <w:rPr>
          <w:rFonts w:ascii="Century Gothic" w:hAnsi="Century Gothic"/>
        </w:rPr>
        <w:t>set out an ambitious plan to tackle child poverty</w:t>
      </w:r>
      <w:r w:rsidR="00A635B8" w:rsidRPr="002D4973">
        <w:rPr>
          <w:rFonts w:ascii="Century Gothic" w:hAnsi="Century Gothic"/>
        </w:rPr>
        <w:t xml:space="preserve"> encompassing </w:t>
      </w:r>
      <w:r w:rsidR="002A49C1" w:rsidRPr="002D4973">
        <w:rPr>
          <w:rFonts w:ascii="Century Gothic" w:hAnsi="Century Gothic"/>
        </w:rPr>
        <w:t xml:space="preserve">not only social security spending but </w:t>
      </w:r>
      <w:r w:rsidR="0058604E" w:rsidRPr="002D4973">
        <w:rPr>
          <w:rFonts w:ascii="Century Gothic" w:hAnsi="Century Gothic"/>
        </w:rPr>
        <w:t xml:space="preserve">the </w:t>
      </w:r>
      <w:r w:rsidR="004F3E4C" w:rsidRPr="002D4973">
        <w:rPr>
          <w:rFonts w:ascii="Century Gothic" w:hAnsi="Century Gothic"/>
        </w:rPr>
        <w:t xml:space="preserve">high </w:t>
      </w:r>
      <w:r w:rsidR="0058604E" w:rsidRPr="002D4973">
        <w:rPr>
          <w:rFonts w:ascii="Century Gothic" w:hAnsi="Century Gothic"/>
        </w:rPr>
        <w:t>cost of housing and childcare and investment in children’s services.</w:t>
      </w:r>
    </w:p>
    <w:p w14:paraId="2ABA534F" w14:textId="045458D8" w:rsidR="00250915" w:rsidRDefault="00250915" w:rsidP="00D660EA">
      <w:pPr>
        <w:spacing w:line="360" w:lineRule="auto"/>
        <w:rPr>
          <w:rFonts w:ascii="Century Gothic" w:hAnsi="Century Gothic"/>
        </w:rPr>
      </w:pPr>
      <w:r>
        <w:rPr>
          <w:rFonts w:ascii="Century Gothic" w:hAnsi="Century Gothic"/>
        </w:rPr>
        <w:t>The report is based on data published by the Department for Work and Pensions in March 2020, and on estimates of the effect of housing costs on poverty rates produced by the Centre for Research in Social Policy </w:t>
      </w:r>
      <w:r w:rsidR="005D0479">
        <w:rPr>
          <w:rFonts w:ascii="Century Gothic" w:hAnsi="Century Gothic"/>
        </w:rPr>
        <w:t>at</w:t>
      </w:r>
      <w:r>
        <w:rPr>
          <w:rFonts w:ascii="Century Gothic" w:hAnsi="Century Gothic"/>
        </w:rPr>
        <w:t xml:space="preserve"> Loughborough University, based on survey evidence.</w:t>
      </w:r>
    </w:p>
    <w:p w14:paraId="390B5010" w14:textId="74A864B8" w:rsidR="00556C4B" w:rsidRPr="002D4973" w:rsidRDefault="00FF6EE4" w:rsidP="00217681">
      <w:pPr>
        <w:spacing w:after="100" w:afterAutospacing="1" w:line="360" w:lineRule="auto"/>
        <w:rPr>
          <w:rFonts w:ascii="Century Gothic" w:hAnsi="Century Gothic"/>
        </w:rPr>
      </w:pPr>
      <w:r w:rsidRPr="002D4973">
        <w:rPr>
          <w:rFonts w:ascii="Century Gothic" w:hAnsi="Century Gothic"/>
        </w:rPr>
        <w:t>E</w:t>
      </w:r>
      <w:r w:rsidR="00430D96" w:rsidRPr="002D4973">
        <w:rPr>
          <w:rFonts w:ascii="Century Gothic" w:hAnsi="Century Gothic"/>
        </w:rPr>
        <w:t>arlier this year, Boris Johnson</w:t>
      </w:r>
      <w:r w:rsidR="00405B75" w:rsidRPr="002D4973">
        <w:rPr>
          <w:rFonts w:ascii="Century Gothic" w:hAnsi="Century Gothic"/>
        </w:rPr>
        <w:t xml:space="preserve"> was rebuked </w:t>
      </w:r>
      <w:r w:rsidR="00430D96" w:rsidRPr="002D4973">
        <w:rPr>
          <w:rFonts w:ascii="Century Gothic" w:hAnsi="Century Gothic"/>
        </w:rPr>
        <w:t xml:space="preserve">by the statistics watchdog </w:t>
      </w:r>
      <w:r w:rsidR="006158D5" w:rsidRPr="002D4973">
        <w:rPr>
          <w:rFonts w:ascii="Century Gothic" w:hAnsi="Century Gothic"/>
        </w:rPr>
        <w:t xml:space="preserve">for </w:t>
      </w:r>
      <w:r w:rsidR="00405B75" w:rsidRPr="002D4973">
        <w:rPr>
          <w:rFonts w:ascii="Century Gothic" w:hAnsi="Century Gothic"/>
        </w:rPr>
        <w:t xml:space="preserve">his </w:t>
      </w:r>
      <w:r w:rsidR="006158D5" w:rsidRPr="002D4973">
        <w:rPr>
          <w:rFonts w:ascii="Century Gothic" w:hAnsi="Century Gothic"/>
        </w:rPr>
        <w:t xml:space="preserve">repeated </w:t>
      </w:r>
      <w:r w:rsidR="00405B75" w:rsidRPr="002D4973">
        <w:rPr>
          <w:rFonts w:ascii="Century Gothic" w:hAnsi="Century Gothic"/>
        </w:rPr>
        <w:t xml:space="preserve">misuse of child poverty statistics. The </w:t>
      </w:r>
      <w:r w:rsidR="00F6590F" w:rsidRPr="002D4973">
        <w:rPr>
          <w:rFonts w:ascii="Century Gothic" w:hAnsi="Century Gothic"/>
        </w:rPr>
        <w:t>Statistics</w:t>
      </w:r>
      <w:r w:rsidR="00405B75" w:rsidRPr="002D4973">
        <w:rPr>
          <w:rFonts w:ascii="Century Gothic" w:hAnsi="Century Gothic"/>
        </w:rPr>
        <w:t xml:space="preserve"> Authority </w:t>
      </w:r>
      <w:r w:rsidR="004F2046" w:rsidRPr="002D4973">
        <w:rPr>
          <w:rFonts w:ascii="Century Gothic" w:hAnsi="Century Gothic"/>
        </w:rPr>
        <w:t xml:space="preserve">upheld a </w:t>
      </w:r>
      <w:r w:rsidR="00F6590F" w:rsidRPr="002D4973">
        <w:rPr>
          <w:rFonts w:ascii="Century Gothic" w:hAnsi="Century Gothic"/>
        </w:rPr>
        <w:t>complaint</w:t>
      </w:r>
      <w:r w:rsidR="004F2046" w:rsidRPr="002D4973">
        <w:rPr>
          <w:rFonts w:ascii="Century Gothic" w:hAnsi="Century Gothic"/>
        </w:rPr>
        <w:t xml:space="preserve"> from the End Child </w:t>
      </w:r>
      <w:r w:rsidR="00F6590F" w:rsidRPr="002D4973">
        <w:rPr>
          <w:rFonts w:ascii="Century Gothic" w:hAnsi="Century Gothic"/>
        </w:rPr>
        <w:t>Poverty c</w:t>
      </w:r>
      <w:r w:rsidR="004F2046" w:rsidRPr="002D4973">
        <w:rPr>
          <w:rFonts w:ascii="Century Gothic" w:hAnsi="Century Gothic"/>
        </w:rPr>
        <w:t xml:space="preserve">oalition </w:t>
      </w:r>
      <w:r w:rsidR="00C52BA0" w:rsidRPr="002D4973">
        <w:rPr>
          <w:rFonts w:ascii="Century Gothic" w:hAnsi="Century Gothic"/>
        </w:rPr>
        <w:t xml:space="preserve">judging </w:t>
      </w:r>
      <w:r w:rsidR="004F2046" w:rsidRPr="002D4973">
        <w:rPr>
          <w:rFonts w:ascii="Century Gothic" w:hAnsi="Century Gothic"/>
        </w:rPr>
        <w:t xml:space="preserve">that on three separate </w:t>
      </w:r>
      <w:r w:rsidR="00F6590F" w:rsidRPr="002D4973">
        <w:rPr>
          <w:rFonts w:ascii="Century Gothic" w:hAnsi="Century Gothic"/>
        </w:rPr>
        <w:t>occasions</w:t>
      </w:r>
      <w:r w:rsidR="004F2046" w:rsidRPr="002D4973">
        <w:rPr>
          <w:rFonts w:ascii="Century Gothic" w:hAnsi="Century Gothic"/>
        </w:rPr>
        <w:t xml:space="preserve"> </w:t>
      </w:r>
      <w:r w:rsidR="00CC6611" w:rsidRPr="002D4973">
        <w:rPr>
          <w:rFonts w:ascii="Century Gothic" w:hAnsi="Century Gothic"/>
        </w:rPr>
        <w:t>his statements on child poverty were ‘incorrect’.</w:t>
      </w:r>
      <w:r w:rsidR="00050FEB" w:rsidRPr="002D4973" w:rsidDel="00050FEB">
        <w:rPr>
          <w:rFonts w:ascii="Century Gothic" w:hAnsi="Century Gothic"/>
        </w:rPr>
        <w:t xml:space="preserve"> </w:t>
      </w:r>
    </w:p>
    <w:p w14:paraId="020B556D" w14:textId="77777777" w:rsidR="00217681" w:rsidRPr="002D4973" w:rsidRDefault="00217681" w:rsidP="00217681">
      <w:pPr>
        <w:spacing w:after="100" w:afterAutospacing="1" w:line="360" w:lineRule="auto"/>
        <w:rPr>
          <w:rFonts w:ascii="Century Gothic" w:hAnsi="Century Gothic"/>
          <w:u w:val="single"/>
        </w:rPr>
      </w:pPr>
      <w:r w:rsidRPr="002D4973">
        <w:rPr>
          <w:rFonts w:ascii="Century Gothic" w:hAnsi="Century Gothic"/>
          <w:u w:val="single"/>
        </w:rPr>
        <w:t xml:space="preserve">Anna </w:t>
      </w:r>
      <w:proofErr w:type="spellStart"/>
      <w:r w:rsidRPr="002D4973">
        <w:rPr>
          <w:rFonts w:ascii="Century Gothic" w:hAnsi="Century Gothic"/>
          <w:u w:val="single"/>
        </w:rPr>
        <w:t>Feuchtwang</w:t>
      </w:r>
      <w:proofErr w:type="spellEnd"/>
      <w:r w:rsidRPr="002D4973">
        <w:rPr>
          <w:rFonts w:ascii="Century Gothic" w:hAnsi="Century Gothic"/>
          <w:u w:val="single"/>
        </w:rPr>
        <w:t>, Chair of End Child Poverty which commissioned the research, said:</w:t>
      </w:r>
    </w:p>
    <w:p w14:paraId="07D8E163" w14:textId="40D4513E" w:rsidR="00921803" w:rsidRPr="002D4973" w:rsidRDefault="00217681" w:rsidP="00217681">
      <w:pPr>
        <w:spacing w:after="100" w:afterAutospacing="1" w:line="360" w:lineRule="auto"/>
        <w:rPr>
          <w:rFonts w:ascii="Century Gothic" w:hAnsi="Century Gothic"/>
          <w:i/>
        </w:rPr>
      </w:pPr>
      <w:r w:rsidRPr="002D4973">
        <w:rPr>
          <w:rFonts w:ascii="Century Gothic" w:hAnsi="Century Gothic"/>
          <w:i/>
        </w:rPr>
        <w:t>“</w:t>
      </w:r>
      <w:r w:rsidR="000A445F" w:rsidRPr="002D4973">
        <w:rPr>
          <w:rFonts w:ascii="Century Gothic" w:hAnsi="Century Gothic"/>
          <w:i/>
        </w:rPr>
        <w:t>The Government can be in no doubt about the challenge it face</w:t>
      </w:r>
      <w:r w:rsidR="00203051" w:rsidRPr="002D4973">
        <w:rPr>
          <w:rFonts w:ascii="Century Gothic" w:hAnsi="Century Gothic"/>
          <w:i/>
        </w:rPr>
        <w:t>s</w:t>
      </w:r>
      <w:r w:rsidR="00967140" w:rsidRPr="002D4973">
        <w:rPr>
          <w:rFonts w:ascii="Century Gothic" w:hAnsi="Century Gothic"/>
          <w:i/>
        </w:rPr>
        <w:t xml:space="preserve"> if it is serious about ‘levelling up’ disadva</w:t>
      </w:r>
      <w:r w:rsidR="003C7775" w:rsidRPr="002D4973">
        <w:rPr>
          <w:rFonts w:ascii="Century Gothic" w:hAnsi="Century Gothic"/>
          <w:i/>
        </w:rPr>
        <w:t>ntaged parts of the country.</w:t>
      </w:r>
      <w:r w:rsidR="00120BEC" w:rsidRPr="002D4973">
        <w:rPr>
          <w:rFonts w:ascii="Century Gothic" w:hAnsi="Century Gothic"/>
          <w:i/>
        </w:rPr>
        <w:t xml:space="preserve"> </w:t>
      </w:r>
      <w:r w:rsidR="00B84EC7" w:rsidRPr="002D4973">
        <w:rPr>
          <w:rFonts w:ascii="Century Gothic" w:hAnsi="Century Gothic"/>
          <w:i/>
        </w:rPr>
        <w:t>This new data r</w:t>
      </w:r>
      <w:r w:rsidRPr="002D4973">
        <w:rPr>
          <w:rFonts w:ascii="Century Gothic" w:hAnsi="Century Gothic"/>
          <w:i/>
        </w:rPr>
        <w:t xml:space="preserve">eveals the true </w:t>
      </w:r>
      <w:r w:rsidRPr="002D4973">
        <w:rPr>
          <w:rFonts w:ascii="Century Gothic" w:hAnsi="Century Gothic"/>
          <w:i/>
        </w:rPr>
        <w:lastRenderedPageBreak/>
        <w:t>extent of the hardship experienced by families on low incomes</w:t>
      </w:r>
      <w:r w:rsidR="00F236BC" w:rsidRPr="002D4973">
        <w:rPr>
          <w:rFonts w:ascii="Century Gothic" w:hAnsi="Century Gothic"/>
          <w:i/>
        </w:rPr>
        <w:t xml:space="preserve"> – the overwhelming majority of which were working households before the pandemic</w:t>
      </w:r>
      <w:r w:rsidRPr="002D4973">
        <w:rPr>
          <w:rFonts w:ascii="Century Gothic" w:hAnsi="Century Gothic"/>
          <w:i/>
        </w:rPr>
        <w:t xml:space="preserve">. The children </w:t>
      </w:r>
      <w:r w:rsidR="00CD0548" w:rsidRPr="002D4973">
        <w:rPr>
          <w:rFonts w:ascii="Century Gothic" w:hAnsi="Century Gothic"/>
          <w:i/>
        </w:rPr>
        <w:t>a</w:t>
      </w:r>
      <w:r w:rsidRPr="002D4973">
        <w:rPr>
          <w:rFonts w:ascii="Century Gothic" w:hAnsi="Century Gothic"/>
          <w:i/>
        </w:rPr>
        <w:t xml:space="preserve">ffected are on a cliff edge, and the pandemic will only sweep them further into danger. </w:t>
      </w:r>
    </w:p>
    <w:p w14:paraId="264B3B95" w14:textId="781BE8C1" w:rsidR="00217681" w:rsidRDefault="0057486D" w:rsidP="00217681">
      <w:pPr>
        <w:spacing w:after="100" w:afterAutospacing="1" w:line="360" w:lineRule="auto"/>
        <w:rPr>
          <w:rFonts w:ascii="Century Gothic" w:hAnsi="Century Gothic"/>
          <w:i/>
        </w:rPr>
      </w:pPr>
      <w:r w:rsidRPr="002D4973">
        <w:rPr>
          <w:rFonts w:ascii="Century Gothic" w:hAnsi="Century Gothic"/>
          <w:i/>
        </w:rPr>
        <w:t>The Prime Minister</w:t>
      </w:r>
      <w:r w:rsidR="00921803" w:rsidRPr="002D4973">
        <w:rPr>
          <w:rFonts w:ascii="Century Gothic" w:hAnsi="Century Gothic"/>
          <w:i/>
        </w:rPr>
        <w:t xml:space="preserve"> must </w:t>
      </w:r>
      <w:r w:rsidR="00217681" w:rsidRPr="002D4973">
        <w:rPr>
          <w:rFonts w:ascii="Century Gothic" w:hAnsi="Century Gothic"/>
          <w:i/>
        </w:rPr>
        <w:t xml:space="preserve">urgently admit </w:t>
      </w:r>
      <w:r w:rsidR="00921803" w:rsidRPr="002D4973">
        <w:rPr>
          <w:rFonts w:ascii="Century Gothic" w:hAnsi="Century Gothic"/>
          <w:i/>
        </w:rPr>
        <w:t xml:space="preserve">to </w:t>
      </w:r>
      <w:r w:rsidR="00217681" w:rsidRPr="002D4973">
        <w:rPr>
          <w:rFonts w:ascii="Century Gothic" w:hAnsi="Century Gothic"/>
          <w:i/>
        </w:rPr>
        <w:t xml:space="preserve">the true extent of child poverty in our country rather than </w:t>
      </w:r>
      <w:r w:rsidR="00C10209" w:rsidRPr="002D4973">
        <w:rPr>
          <w:rFonts w:ascii="Century Gothic" w:hAnsi="Century Gothic"/>
          <w:i/>
        </w:rPr>
        <w:t xml:space="preserve">resorting to his own inaccurate </w:t>
      </w:r>
      <w:r w:rsidR="00B76E94" w:rsidRPr="002D4973">
        <w:rPr>
          <w:rFonts w:ascii="Century Gothic" w:hAnsi="Century Gothic"/>
          <w:i/>
        </w:rPr>
        <w:t xml:space="preserve">statistics. </w:t>
      </w:r>
      <w:r w:rsidR="006D7D3C" w:rsidRPr="002D4973">
        <w:rPr>
          <w:rFonts w:ascii="Century Gothic" w:hAnsi="Century Gothic"/>
          <w:i/>
        </w:rPr>
        <w:t xml:space="preserve">An ambitious plan to </w:t>
      </w:r>
      <w:r w:rsidR="00217681" w:rsidRPr="002D4973">
        <w:rPr>
          <w:rFonts w:ascii="Century Gothic" w:hAnsi="Century Gothic"/>
          <w:i/>
        </w:rPr>
        <w:t xml:space="preserve">  put this shameful situation right</w:t>
      </w:r>
      <w:r w:rsidR="006D7D3C" w:rsidRPr="002D4973">
        <w:rPr>
          <w:rFonts w:ascii="Century Gothic" w:hAnsi="Century Gothic"/>
          <w:i/>
        </w:rPr>
        <w:t xml:space="preserve"> would be transformational for millions of children</w:t>
      </w:r>
      <w:r w:rsidR="002213F7" w:rsidRPr="002D4973">
        <w:rPr>
          <w:rFonts w:ascii="Century Gothic" w:hAnsi="Century Gothic"/>
          <w:i/>
        </w:rPr>
        <w:t xml:space="preserve">. </w:t>
      </w:r>
      <w:r w:rsidR="00C87699" w:rsidRPr="002D4973">
        <w:rPr>
          <w:rFonts w:ascii="Century Gothic" w:hAnsi="Century Gothic"/>
          <w:i/>
        </w:rPr>
        <w:t>A</w:t>
      </w:r>
      <w:r w:rsidR="00B5528C" w:rsidRPr="002D4973">
        <w:rPr>
          <w:rFonts w:ascii="Century Gothic" w:hAnsi="Century Gothic"/>
          <w:i/>
        </w:rPr>
        <w:t xml:space="preserve">s a matter of urgency we are calling on the </w:t>
      </w:r>
      <w:r w:rsidR="00F236BC" w:rsidRPr="002D4973">
        <w:rPr>
          <w:rFonts w:ascii="Century Gothic" w:hAnsi="Century Gothic"/>
          <w:i/>
        </w:rPr>
        <w:t>Chancellor</w:t>
      </w:r>
      <w:r w:rsidR="00B5528C" w:rsidRPr="002D4973">
        <w:rPr>
          <w:rFonts w:ascii="Century Gothic" w:hAnsi="Century Gothic"/>
          <w:i/>
        </w:rPr>
        <w:t xml:space="preserve"> not to </w:t>
      </w:r>
      <w:r w:rsidR="002C732B" w:rsidRPr="002D4973">
        <w:rPr>
          <w:rFonts w:ascii="Century Gothic" w:hAnsi="Century Gothic"/>
          <w:i/>
        </w:rPr>
        <w:t>go ahead with planned cuts to Universal Credit which would see families los</w:t>
      </w:r>
      <w:r w:rsidR="00312BE9" w:rsidRPr="002D4973">
        <w:rPr>
          <w:rFonts w:ascii="Century Gothic" w:hAnsi="Century Gothic"/>
          <w:i/>
        </w:rPr>
        <w:t xml:space="preserve">e out on £1000 a year. Given today’s </w:t>
      </w:r>
      <w:r w:rsidR="00DE1DF7" w:rsidRPr="002D4973">
        <w:rPr>
          <w:rFonts w:ascii="Century Gothic" w:hAnsi="Century Gothic"/>
          <w:i/>
        </w:rPr>
        <w:t>data, this cut is unconscionable.’</w:t>
      </w:r>
    </w:p>
    <w:p w14:paraId="4FBF6104" w14:textId="28A6B329" w:rsidR="00FA480C" w:rsidRDefault="00FA480C" w:rsidP="00217681">
      <w:pPr>
        <w:spacing w:after="100" w:afterAutospacing="1" w:line="360" w:lineRule="auto"/>
        <w:rPr>
          <w:rFonts w:ascii="Century Gothic" w:hAnsi="Century Gothic"/>
        </w:rPr>
      </w:pPr>
      <w:r>
        <w:rPr>
          <w:rFonts w:ascii="Century Gothic" w:hAnsi="Century Gothic"/>
        </w:rPr>
        <w:t xml:space="preserve">Chief Executive of Child Poverty Action Group Alison Garnham said: </w:t>
      </w:r>
    </w:p>
    <w:p w14:paraId="6F60F37F" w14:textId="0ACF75A1" w:rsidR="00282F46" w:rsidRDefault="00FA480C" w:rsidP="00217681">
      <w:pPr>
        <w:spacing w:after="100" w:afterAutospacing="1" w:line="360" w:lineRule="auto"/>
        <w:rPr>
          <w:rFonts w:ascii="Century Gothic" w:hAnsi="Century Gothic"/>
          <w:i/>
        </w:rPr>
      </w:pPr>
      <w:r>
        <w:rPr>
          <w:rFonts w:ascii="Century Gothic" w:hAnsi="Century Gothic"/>
          <w:i/>
        </w:rPr>
        <w:t>“Londoners want every child to be able to reach their full potential but this new data shows that our capital has the highest concentration of children in poverty in the UK</w:t>
      </w:r>
      <w:r w:rsidR="006000A8">
        <w:rPr>
          <w:rFonts w:ascii="Century Gothic" w:hAnsi="Century Gothic"/>
          <w:i/>
        </w:rPr>
        <w:t>,</w:t>
      </w:r>
      <w:r>
        <w:rPr>
          <w:rFonts w:ascii="Century Gothic" w:hAnsi="Century Gothic"/>
          <w:i/>
        </w:rPr>
        <w:t xml:space="preserve"> and rising - which in practice means hundreds of thousands</w:t>
      </w:r>
      <w:r w:rsidR="001862AC">
        <w:rPr>
          <w:rFonts w:ascii="Century Gothic" w:hAnsi="Century Gothic"/>
          <w:i/>
        </w:rPr>
        <w:t xml:space="preserve"> of children were falling behind</w:t>
      </w:r>
      <w:r w:rsidR="006000A8">
        <w:rPr>
          <w:rFonts w:ascii="Century Gothic" w:hAnsi="Century Gothic"/>
          <w:i/>
        </w:rPr>
        <w:t xml:space="preserve">, </w:t>
      </w:r>
      <w:r>
        <w:rPr>
          <w:rFonts w:ascii="Century Gothic" w:hAnsi="Century Gothic"/>
          <w:i/>
        </w:rPr>
        <w:t xml:space="preserve">even before the pandemic. </w:t>
      </w:r>
      <w:r w:rsidR="001862AC">
        <w:rPr>
          <w:rFonts w:ascii="Century Gothic" w:hAnsi="Century Gothic"/>
          <w:i/>
        </w:rPr>
        <w:t xml:space="preserve"> </w:t>
      </w:r>
      <w:r>
        <w:rPr>
          <w:rFonts w:ascii="Century Gothic" w:hAnsi="Century Gothic"/>
          <w:i/>
        </w:rPr>
        <w:t xml:space="preserve">That should be a wake-up </w:t>
      </w:r>
      <w:r w:rsidR="006000A8">
        <w:rPr>
          <w:rFonts w:ascii="Century Gothic" w:hAnsi="Century Gothic"/>
          <w:i/>
        </w:rPr>
        <w:t>call for Government</w:t>
      </w:r>
      <w:r w:rsidR="00282F46">
        <w:rPr>
          <w:rFonts w:ascii="Century Gothic" w:hAnsi="Century Gothic"/>
          <w:i/>
        </w:rPr>
        <w:t xml:space="preserve"> as we enter a coronavirus recession</w:t>
      </w:r>
      <w:r w:rsidR="006000A8">
        <w:rPr>
          <w:rFonts w:ascii="Century Gothic" w:hAnsi="Century Gothic"/>
          <w:i/>
        </w:rPr>
        <w:t xml:space="preserve">. </w:t>
      </w:r>
      <w:r w:rsidR="001862AC">
        <w:rPr>
          <w:rFonts w:ascii="Century Gothic" w:hAnsi="Century Gothic"/>
          <w:i/>
        </w:rPr>
        <w:t xml:space="preserve"> </w:t>
      </w:r>
      <w:r w:rsidR="00282F46">
        <w:rPr>
          <w:rFonts w:ascii="Century Gothic" w:hAnsi="Century Gothic"/>
          <w:i/>
        </w:rPr>
        <w:t xml:space="preserve">Cutting universal credit would only mean more of London’s children falling into poverty.  It would make no sense at all in the context of a </w:t>
      </w:r>
      <w:r w:rsidR="00E53E71">
        <w:rPr>
          <w:rFonts w:ascii="Century Gothic" w:hAnsi="Century Gothic"/>
          <w:i/>
        </w:rPr>
        <w:t xml:space="preserve">building back better </w:t>
      </w:r>
      <w:bookmarkStart w:id="0" w:name="_GoBack"/>
      <w:bookmarkEnd w:id="0"/>
      <w:r w:rsidR="00282F46">
        <w:rPr>
          <w:rFonts w:ascii="Century Gothic" w:hAnsi="Century Gothic"/>
          <w:i/>
        </w:rPr>
        <w:t xml:space="preserve">agenda – it should not happen.” </w:t>
      </w:r>
    </w:p>
    <w:p w14:paraId="2F397878" w14:textId="50147F64" w:rsidR="00430D96" w:rsidRPr="002D4973" w:rsidRDefault="00430D96" w:rsidP="00217681">
      <w:pPr>
        <w:spacing w:after="100" w:afterAutospacing="1" w:line="360" w:lineRule="auto"/>
        <w:rPr>
          <w:rFonts w:ascii="Century Gothic" w:hAnsi="Century Gothic"/>
          <w:i/>
        </w:rPr>
      </w:pPr>
      <w:r w:rsidRPr="002D4973">
        <w:rPr>
          <w:rFonts w:ascii="Century Gothic" w:hAnsi="Century Gothic"/>
          <w:i/>
        </w:rPr>
        <w:t xml:space="preserve">End Child Poverty </w:t>
      </w:r>
      <w:r w:rsidR="004B2946" w:rsidRPr="002D4973">
        <w:rPr>
          <w:rFonts w:ascii="Century Gothic" w:hAnsi="Century Gothic"/>
          <w:i/>
        </w:rPr>
        <w:t>is</w:t>
      </w:r>
      <w:r w:rsidRPr="002D4973">
        <w:rPr>
          <w:rFonts w:ascii="Century Gothic" w:hAnsi="Century Gothic"/>
          <w:i/>
        </w:rPr>
        <w:t xml:space="preserve"> calling for</w:t>
      </w:r>
      <w:r w:rsidR="00774F0E" w:rsidRPr="002D4973">
        <w:rPr>
          <w:rFonts w:ascii="Century Gothic" w:hAnsi="Century Gothic"/>
          <w:i/>
        </w:rPr>
        <w:t xml:space="preserve"> </w:t>
      </w:r>
      <w:r w:rsidR="00F236BC" w:rsidRPr="002D4973">
        <w:rPr>
          <w:rFonts w:ascii="Century Gothic" w:hAnsi="Century Gothic"/>
          <w:i/>
        </w:rPr>
        <w:t xml:space="preserve">an </w:t>
      </w:r>
      <w:r w:rsidR="00774F0E" w:rsidRPr="002D4973">
        <w:rPr>
          <w:rFonts w:ascii="Century Gothic" w:hAnsi="Century Gothic"/>
          <w:i/>
        </w:rPr>
        <w:t xml:space="preserve">urgent Government </w:t>
      </w:r>
      <w:r w:rsidR="00F236BC" w:rsidRPr="002D4973">
        <w:rPr>
          <w:rFonts w:ascii="Century Gothic" w:hAnsi="Century Gothic"/>
          <w:i/>
        </w:rPr>
        <w:t xml:space="preserve">plan to end child poverty including </w:t>
      </w:r>
    </w:p>
    <w:p w14:paraId="4ACF6AC6" w14:textId="7A45A792" w:rsidR="00430D96" w:rsidRPr="002D4973" w:rsidRDefault="00774F0E" w:rsidP="00774F0E">
      <w:pPr>
        <w:pStyle w:val="ListParagraph"/>
        <w:numPr>
          <w:ilvl w:val="0"/>
          <w:numId w:val="12"/>
        </w:numPr>
        <w:spacing w:after="100" w:afterAutospacing="1" w:line="360" w:lineRule="auto"/>
        <w:rPr>
          <w:rFonts w:ascii="Century Gothic" w:hAnsi="Century Gothic"/>
          <w:i/>
        </w:rPr>
      </w:pPr>
      <w:r w:rsidRPr="002D4973">
        <w:rPr>
          <w:rFonts w:ascii="Century Gothic" w:hAnsi="Century Gothic"/>
          <w:i/>
        </w:rPr>
        <w:t>Uprat</w:t>
      </w:r>
      <w:r w:rsidR="002963E8" w:rsidRPr="002D4973">
        <w:rPr>
          <w:rFonts w:ascii="Century Gothic" w:hAnsi="Century Gothic"/>
          <w:i/>
        </w:rPr>
        <w:t>ing of</w:t>
      </w:r>
      <w:r w:rsidR="00572AD4" w:rsidRPr="002D4973">
        <w:rPr>
          <w:rFonts w:ascii="Century Gothic" w:hAnsi="Century Gothic"/>
          <w:i/>
        </w:rPr>
        <w:t xml:space="preserve"> hou</w:t>
      </w:r>
      <w:r w:rsidRPr="002D4973">
        <w:rPr>
          <w:rFonts w:ascii="Century Gothic" w:hAnsi="Century Gothic"/>
          <w:i/>
        </w:rPr>
        <w:t>s</w:t>
      </w:r>
      <w:r w:rsidR="00572AD4" w:rsidRPr="002D4973">
        <w:rPr>
          <w:rFonts w:ascii="Century Gothic" w:hAnsi="Century Gothic"/>
          <w:i/>
        </w:rPr>
        <w:t xml:space="preserve">ing </w:t>
      </w:r>
      <w:r w:rsidR="00F236BC" w:rsidRPr="002D4973">
        <w:rPr>
          <w:rFonts w:ascii="Century Gothic" w:hAnsi="Century Gothic"/>
          <w:i/>
        </w:rPr>
        <w:t>assistance in line with</w:t>
      </w:r>
      <w:r w:rsidRPr="002D4973">
        <w:rPr>
          <w:rFonts w:ascii="Century Gothic" w:hAnsi="Century Gothic"/>
          <w:i/>
        </w:rPr>
        <w:t xml:space="preserve"> inflation;</w:t>
      </w:r>
    </w:p>
    <w:p w14:paraId="12400197" w14:textId="3E73FF05" w:rsidR="00774F0E" w:rsidRPr="002D4973" w:rsidRDefault="00774F0E" w:rsidP="00774F0E">
      <w:pPr>
        <w:pStyle w:val="ListParagraph"/>
        <w:numPr>
          <w:ilvl w:val="0"/>
          <w:numId w:val="12"/>
        </w:numPr>
        <w:spacing w:after="100" w:afterAutospacing="1" w:line="360" w:lineRule="auto"/>
        <w:rPr>
          <w:rFonts w:ascii="Century Gothic" w:hAnsi="Century Gothic"/>
          <w:i/>
        </w:rPr>
      </w:pPr>
      <w:r w:rsidRPr="002D4973">
        <w:rPr>
          <w:rFonts w:ascii="Century Gothic" w:hAnsi="Century Gothic"/>
          <w:i/>
        </w:rPr>
        <w:t>Ret</w:t>
      </w:r>
      <w:r w:rsidR="00F40195" w:rsidRPr="002D4973">
        <w:rPr>
          <w:rFonts w:ascii="Century Gothic" w:hAnsi="Century Gothic"/>
          <w:i/>
        </w:rPr>
        <w:t>ai</w:t>
      </w:r>
      <w:r w:rsidRPr="002D4973">
        <w:rPr>
          <w:rFonts w:ascii="Century Gothic" w:hAnsi="Century Gothic"/>
          <w:i/>
        </w:rPr>
        <w:t xml:space="preserve">n the </w:t>
      </w:r>
      <w:r w:rsidR="002963E8" w:rsidRPr="002D4973">
        <w:rPr>
          <w:rFonts w:ascii="Century Gothic" w:hAnsi="Century Gothic"/>
          <w:i/>
        </w:rPr>
        <w:t xml:space="preserve">£20 </w:t>
      </w:r>
      <w:r w:rsidRPr="002D4973">
        <w:rPr>
          <w:rFonts w:ascii="Century Gothic" w:hAnsi="Century Gothic"/>
          <w:i/>
        </w:rPr>
        <w:t>uplift in Universal Credit introduced at the start of the pandemic</w:t>
      </w:r>
      <w:r w:rsidR="00B4791F" w:rsidRPr="002D4973">
        <w:rPr>
          <w:rFonts w:ascii="Century Gothic" w:hAnsi="Century Gothic"/>
          <w:i/>
        </w:rPr>
        <w:t xml:space="preserve">, </w:t>
      </w:r>
      <w:r w:rsidR="00F179C7" w:rsidRPr="002D4973">
        <w:rPr>
          <w:rFonts w:ascii="Century Gothic" w:hAnsi="Century Gothic"/>
          <w:i/>
        </w:rPr>
        <w:t>which the Government has indicated will end in April 2021</w:t>
      </w:r>
      <w:r w:rsidRPr="002D4973">
        <w:rPr>
          <w:rFonts w:ascii="Century Gothic" w:hAnsi="Century Gothic"/>
          <w:i/>
        </w:rPr>
        <w:t>;</w:t>
      </w:r>
    </w:p>
    <w:p w14:paraId="3C89BCF2" w14:textId="240F5DC6" w:rsidR="00774F0E" w:rsidRPr="002D4973" w:rsidRDefault="00774F0E" w:rsidP="00774F0E">
      <w:pPr>
        <w:pStyle w:val="ListParagraph"/>
        <w:numPr>
          <w:ilvl w:val="0"/>
          <w:numId w:val="12"/>
        </w:numPr>
        <w:spacing w:after="100" w:afterAutospacing="1" w:line="360" w:lineRule="auto"/>
        <w:rPr>
          <w:rFonts w:ascii="Century Gothic" w:hAnsi="Century Gothic"/>
          <w:i/>
        </w:rPr>
      </w:pPr>
      <w:r w:rsidRPr="002D4973">
        <w:rPr>
          <w:rFonts w:ascii="Century Gothic" w:hAnsi="Century Gothic"/>
          <w:i/>
        </w:rPr>
        <w:t>End the benefit cap and the two-child limit on benefits</w:t>
      </w:r>
      <w:r w:rsidR="002963E8" w:rsidRPr="002D4973">
        <w:rPr>
          <w:rFonts w:ascii="Century Gothic" w:hAnsi="Century Gothic"/>
          <w:i/>
        </w:rPr>
        <w:t>;</w:t>
      </w:r>
    </w:p>
    <w:p w14:paraId="3078D30D" w14:textId="493B099E" w:rsidR="00F236BC" w:rsidRPr="002D4973" w:rsidRDefault="00F236BC" w:rsidP="00774F0E">
      <w:pPr>
        <w:pStyle w:val="ListParagraph"/>
        <w:numPr>
          <w:ilvl w:val="0"/>
          <w:numId w:val="12"/>
        </w:numPr>
        <w:spacing w:after="100" w:afterAutospacing="1" w:line="360" w:lineRule="auto"/>
        <w:rPr>
          <w:rFonts w:ascii="Century Gothic" w:hAnsi="Century Gothic"/>
          <w:i/>
        </w:rPr>
      </w:pPr>
      <w:r w:rsidRPr="002D4973">
        <w:rPr>
          <w:rFonts w:ascii="Century Gothic" w:hAnsi="Century Gothic"/>
          <w:i/>
        </w:rPr>
        <w:t>Invest in all children with an increase to child benefit</w:t>
      </w:r>
      <w:r w:rsidR="00B96491" w:rsidRPr="002D4973">
        <w:rPr>
          <w:rFonts w:ascii="Century Gothic" w:hAnsi="Century Gothic"/>
          <w:i/>
        </w:rPr>
        <w:t>;</w:t>
      </w:r>
    </w:p>
    <w:p w14:paraId="1BDEC025" w14:textId="5A5D191A" w:rsidR="00607B34" w:rsidRPr="002D4973" w:rsidRDefault="00F236BC" w:rsidP="001416E6">
      <w:pPr>
        <w:pStyle w:val="ListParagraph"/>
        <w:numPr>
          <w:ilvl w:val="0"/>
          <w:numId w:val="12"/>
        </w:numPr>
        <w:spacing w:after="100" w:afterAutospacing="1" w:line="360" w:lineRule="auto"/>
        <w:rPr>
          <w:rFonts w:ascii="Century Gothic" w:hAnsi="Century Gothic"/>
          <w:i/>
        </w:rPr>
      </w:pPr>
      <w:r w:rsidRPr="002D4973">
        <w:rPr>
          <w:rFonts w:ascii="Century Gothic" w:hAnsi="Century Gothic"/>
          <w:i/>
        </w:rPr>
        <w:t>Extend Free School Meals to all families in receipt of Univers</w:t>
      </w:r>
      <w:r w:rsidR="00607B34" w:rsidRPr="002D4973">
        <w:rPr>
          <w:rFonts w:ascii="Century Gothic" w:hAnsi="Century Gothic"/>
          <w:i/>
        </w:rPr>
        <w:t>al Credit</w:t>
      </w:r>
      <w:r w:rsidR="00AE7E06" w:rsidRPr="002D4973">
        <w:rPr>
          <w:rFonts w:ascii="Century Gothic" w:hAnsi="Century Gothic"/>
          <w:i/>
        </w:rPr>
        <w:t xml:space="preserve"> and those with No Recourse to Public Funds</w:t>
      </w:r>
    </w:p>
    <w:p w14:paraId="41E9A6AA" w14:textId="3D46C362" w:rsidR="00774F0E" w:rsidRPr="002D4973" w:rsidRDefault="00774F0E" w:rsidP="00774F0E">
      <w:pPr>
        <w:spacing w:after="0" w:line="240" w:lineRule="auto"/>
        <w:contextualSpacing/>
        <w:rPr>
          <w:rFonts w:ascii="Century Gothic" w:hAnsi="Century Gothic"/>
          <w:b/>
          <w:color w:val="1B1464"/>
          <w:sz w:val="28"/>
          <w:szCs w:val="24"/>
        </w:rPr>
      </w:pPr>
      <w:r w:rsidRPr="002D4973">
        <w:rPr>
          <w:rFonts w:ascii="Century Gothic" w:hAnsi="Century Gothic"/>
          <w:b/>
          <w:i/>
        </w:rPr>
        <w:t xml:space="preserve">The full report ‘Local indicators of child poverty after housing costs, 2018/19’, as well as tables with local data, are available at: </w:t>
      </w:r>
      <w:hyperlink r:id="rId11" w:history="1">
        <w:r w:rsidRPr="002D4973">
          <w:rPr>
            <w:rFonts w:ascii="Century Gothic" w:hAnsi="Century Gothic"/>
            <w:b/>
            <w:i/>
          </w:rPr>
          <w:t>www.endchildpoverty.org.uk</w:t>
        </w:r>
      </w:hyperlink>
      <w:r w:rsidR="00F40195" w:rsidRPr="002D4973">
        <w:rPr>
          <w:rFonts w:ascii="Century Gothic" w:hAnsi="Century Gothic"/>
          <w:b/>
          <w:color w:val="1B1464"/>
          <w:sz w:val="28"/>
          <w:szCs w:val="24"/>
        </w:rPr>
        <w:t xml:space="preserve"> </w:t>
      </w:r>
      <w:r w:rsidRPr="002D4973">
        <w:rPr>
          <w:rFonts w:ascii="Century Gothic" w:hAnsi="Century Gothic"/>
          <w:b/>
          <w:color w:val="1B1464"/>
          <w:sz w:val="28"/>
          <w:szCs w:val="24"/>
        </w:rPr>
        <w:t xml:space="preserve"> </w:t>
      </w:r>
    </w:p>
    <w:p w14:paraId="71E74FAF" w14:textId="3B88E40C" w:rsidR="00DA03B2" w:rsidRPr="002D4973" w:rsidRDefault="00DA03B2" w:rsidP="00DD6015">
      <w:pPr>
        <w:pStyle w:val="NCBBody"/>
        <w:rPr>
          <w:rFonts w:ascii="Century Gothic" w:hAnsi="Century Gothic"/>
          <w:bCs/>
          <w:color w:val="1B1464"/>
          <w:sz w:val="21"/>
          <w:szCs w:val="21"/>
        </w:rPr>
      </w:pPr>
    </w:p>
    <w:p w14:paraId="440F9422" w14:textId="63EAA355" w:rsidR="007C46B7" w:rsidRPr="002D4973" w:rsidRDefault="007C46B7" w:rsidP="007C46B7">
      <w:pPr>
        <w:spacing w:after="0" w:line="240" w:lineRule="auto"/>
        <w:ind w:left="1440" w:hanging="1440"/>
        <w:rPr>
          <w:rFonts w:ascii="Century Gothic" w:hAnsi="Century Gothic"/>
          <w:b/>
          <w:bCs/>
          <w:sz w:val="24"/>
          <w:szCs w:val="24"/>
        </w:rPr>
      </w:pPr>
      <w:r w:rsidRPr="002D4973">
        <w:rPr>
          <w:rFonts w:ascii="Century Gothic" w:hAnsi="Century Gothic"/>
          <w:b/>
          <w:bCs/>
          <w:sz w:val="24"/>
          <w:szCs w:val="24"/>
        </w:rPr>
        <w:t>The 20 constituencies with the highest AHC compared to BHC poverty rates, 2018/19</w:t>
      </w:r>
    </w:p>
    <w:p w14:paraId="24B2BF8F" w14:textId="77777777" w:rsidR="007C46B7" w:rsidRPr="002D4973" w:rsidRDefault="007C46B7" w:rsidP="007C46B7">
      <w:pPr>
        <w:rPr>
          <w:rFonts w:ascii="Century Gothic" w:hAnsi="Century Gothic"/>
          <w:sz w:val="24"/>
          <w:szCs w:val="24"/>
        </w:rPr>
      </w:pPr>
    </w:p>
    <w:tbl>
      <w:tblPr>
        <w:tblStyle w:val="TableGrid"/>
        <w:tblW w:w="0" w:type="auto"/>
        <w:tblLook w:val="04A0" w:firstRow="1" w:lastRow="0" w:firstColumn="1" w:lastColumn="0" w:noHBand="0" w:noVBand="1"/>
      </w:tblPr>
      <w:tblGrid>
        <w:gridCol w:w="3404"/>
        <w:gridCol w:w="1572"/>
        <w:gridCol w:w="1584"/>
        <w:gridCol w:w="2195"/>
      </w:tblGrid>
      <w:tr w:rsidR="007C46B7" w:rsidRPr="002D4973" w14:paraId="3EA73C0E" w14:textId="77777777" w:rsidTr="00C02E7D">
        <w:tc>
          <w:tcPr>
            <w:tcW w:w="3539" w:type="dxa"/>
            <w:vMerge w:val="restart"/>
            <w:shd w:val="clear" w:color="auto" w:fill="857DE5" w:themeFill="accent1" w:themeFillTint="66"/>
          </w:tcPr>
          <w:p w14:paraId="786B974E" w14:textId="77777777" w:rsidR="007C46B7" w:rsidRPr="002D4973" w:rsidRDefault="007C46B7" w:rsidP="00C02E7D">
            <w:pPr>
              <w:rPr>
                <w:rFonts w:ascii="Century Gothic" w:eastAsia="Times New Roman" w:hAnsi="Century Gothic" w:cs="Calibri"/>
                <w:b/>
                <w:bCs/>
                <w:sz w:val="24"/>
                <w:szCs w:val="24"/>
                <w:lang w:eastAsia="en-GB"/>
              </w:rPr>
            </w:pPr>
            <w:r w:rsidRPr="002D4973">
              <w:rPr>
                <w:rFonts w:ascii="Century Gothic" w:eastAsia="Times New Roman" w:hAnsi="Century Gothic" w:cs="Calibri"/>
                <w:b/>
                <w:bCs/>
                <w:sz w:val="24"/>
                <w:szCs w:val="24"/>
                <w:lang w:eastAsia="en-GB"/>
              </w:rPr>
              <w:t>Constituency</w:t>
            </w:r>
          </w:p>
        </w:tc>
        <w:tc>
          <w:tcPr>
            <w:tcW w:w="5477" w:type="dxa"/>
            <w:gridSpan w:val="3"/>
            <w:shd w:val="clear" w:color="auto" w:fill="857DE5" w:themeFill="accent1" w:themeFillTint="66"/>
          </w:tcPr>
          <w:p w14:paraId="52987AAE" w14:textId="77777777" w:rsidR="007C46B7" w:rsidRPr="002D4973" w:rsidRDefault="007C46B7" w:rsidP="00C02E7D">
            <w:pPr>
              <w:jc w:val="center"/>
              <w:rPr>
                <w:rFonts w:ascii="Century Gothic" w:eastAsia="Times New Roman" w:hAnsi="Century Gothic" w:cs="Calibri"/>
                <w:b/>
                <w:bCs/>
                <w:sz w:val="24"/>
                <w:szCs w:val="24"/>
                <w:lang w:eastAsia="en-GB"/>
              </w:rPr>
            </w:pPr>
            <w:r w:rsidRPr="002D4973">
              <w:rPr>
                <w:rFonts w:ascii="Century Gothic" w:eastAsia="Times New Roman" w:hAnsi="Century Gothic" w:cs="Calibri"/>
                <w:b/>
                <w:bCs/>
                <w:sz w:val="24"/>
                <w:szCs w:val="24"/>
                <w:lang w:eastAsia="en-GB"/>
              </w:rPr>
              <w:t>% of children below 60% median income AHC</w:t>
            </w:r>
          </w:p>
        </w:tc>
      </w:tr>
      <w:tr w:rsidR="007C46B7" w:rsidRPr="002D4973" w14:paraId="085A6BC9" w14:textId="77777777" w:rsidTr="00C02E7D">
        <w:tc>
          <w:tcPr>
            <w:tcW w:w="3539" w:type="dxa"/>
            <w:vMerge/>
            <w:shd w:val="clear" w:color="auto" w:fill="857DE5" w:themeFill="accent1" w:themeFillTint="66"/>
          </w:tcPr>
          <w:p w14:paraId="30B7AC92" w14:textId="77777777" w:rsidR="007C46B7" w:rsidRPr="002D4973" w:rsidRDefault="007C46B7" w:rsidP="00C02E7D">
            <w:pPr>
              <w:rPr>
                <w:rFonts w:ascii="Century Gothic" w:eastAsia="Times New Roman" w:hAnsi="Century Gothic" w:cs="Calibri"/>
                <w:sz w:val="24"/>
                <w:szCs w:val="24"/>
                <w:lang w:eastAsia="en-GB"/>
              </w:rPr>
            </w:pPr>
          </w:p>
        </w:tc>
        <w:tc>
          <w:tcPr>
            <w:tcW w:w="1611" w:type="dxa"/>
            <w:shd w:val="clear" w:color="auto" w:fill="857DE5" w:themeFill="accent1" w:themeFillTint="66"/>
          </w:tcPr>
          <w:p w14:paraId="11641B75" w14:textId="77777777" w:rsidR="007C46B7" w:rsidRPr="002D4973" w:rsidRDefault="007C46B7" w:rsidP="00C02E7D">
            <w:pPr>
              <w:jc w:val="center"/>
              <w:rPr>
                <w:rFonts w:ascii="Century Gothic" w:eastAsia="Times New Roman" w:hAnsi="Century Gothic" w:cs="Calibri"/>
                <w:b/>
                <w:bCs/>
                <w:sz w:val="24"/>
                <w:szCs w:val="24"/>
                <w:lang w:eastAsia="en-GB"/>
              </w:rPr>
            </w:pPr>
            <w:r w:rsidRPr="002D4973">
              <w:rPr>
                <w:rFonts w:ascii="Century Gothic" w:eastAsia="Times New Roman" w:hAnsi="Century Gothic" w:cs="Calibri"/>
                <w:sz w:val="24"/>
                <w:szCs w:val="24"/>
                <w:lang w:eastAsia="en-GB"/>
              </w:rPr>
              <w:t>AHC</w:t>
            </w:r>
          </w:p>
        </w:tc>
        <w:tc>
          <w:tcPr>
            <w:tcW w:w="1612" w:type="dxa"/>
            <w:shd w:val="clear" w:color="auto" w:fill="857DE5" w:themeFill="accent1" w:themeFillTint="66"/>
          </w:tcPr>
          <w:p w14:paraId="487E16BE" w14:textId="77777777" w:rsidR="007C46B7" w:rsidRPr="002D4973" w:rsidRDefault="007C46B7" w:rsidP="00C02E7D">
            <w:pPr>
              <w:jc w:val="center"/>
              <w:rPr>
                <w:rFonts w:ascii="Century Gothic" w:eastAsia="Times New Roman" w:hAnsi="Century Gothic" w:cs="Calibri"/>
                <w:b/>
                <w:bCs/>
                <w:sz w:val="24"/>
                <w:szCs w:val="24"/>
                <w:lang w:eastAsia="en-GB"/>
              </w:rPr>
            </w:pPr>
            <w:r w:rsidRPr="002D4973">
              <w:rPr>
                <w:rFonts w:ascii="Century Gothic" w:eastAsia="Times New Roman" w:hAnsi="Century Gothic" w:cs="Calibri"/>
                <w:sz w:val="24"/>
                <w:szCs w:val="24"/>
                <w:lang w:eastAsia="en-GB"/>
              </w:rPr>
              <w:t>BHC</w:t>
            </w:r>
          </w:p>
        </w:tc>
        <w:tc>
          <w:tcPr>
            <w:tcW w:w="2254" w:type="dxa"/>
            <w:shd w:val="clear" w:color="auto" w:fill="857DE5" w:themeFill="accent1" w:themeFillTint="66"/>
          </w:tcPr>
          <w:p w14:paraId="283B5C8E" w14:textId="77777777" w:rsidR="007C46B7" w:rsidRPr="002D4973" w:rsidRDefault="007C46B7" w:rsidP="00C02E7D">
            <w:pPr>
              <w:rPr>
                <w:rFonts w:ascii="Century Gothic" w:eastAsia="Times New Roman" w:hAnsi="Century Gothic" w:cs="Calibri"/>
                <w:sz w:val="24"/>
                <w:szCs w:val="24"/>
                <w:lang w:eastAsia="en-GB"/>
              </w:rPr>
            </w:pPr>
            <w:r w:rsidRPr="002D4973">
              <w:rPr>
                <w:rFonts w:ascii="Century Gothic" w:eastAsia="Times New Roman" w:hAnsi="Century Gothic" w:cs="Calibri"/>
                <w:sz w:val="24"/>
                <w:szCs w:val="24"/>
                <w:lang w:eastAsia="en-GB"/>
              </w:rPr>
              <w:t>%age point difference</w:t>
            </w:r>
          </w:p>
        </w:tc>
      </w:tr>
      <w:tr w:rsidR="007C46B7" w:rsidRPr="002D4973" w14:paraId="6ACA75CB" w14:textId="77777777" w:rsidTr="00C02E7D">
        <w:tc>
          <w:tcPr>
            <w:tcW w:w="3539" w:type="dxa"/>
          </w:tcPr>
          <w:p w14:paraId="0FE5BA57" w14:textId="77777777" w:rsidR="007C46B7" w:rsidRPr="002D4973" w:rsidRDefault="007C46B7" w:rsidP="00C02E7D">
            <w:pPr>
              <w:rPr>
                <w:rFonts w:ascii="Century Gothic" w:hAnsi="Century Gothic" w:cs="Calibri"/>
                <w:b/>
                <w:bCs/>
                <w:sz w:val="24"/>
                <w:szCs w:val="24"/>
              </w:rPr>
            </w:pPr>
            <w:r w:rsidRPr="002D4973">
              <w:rPr>
                <w:rFonts w:ascii="Century Gothic" w:hAnsi="Century Gothic" w:cs="Calibri"/>
                <w:b/>
                <w:bCs/>
                <w:sz w:val="24"/>
                <w:szCs w:val="24"/>
              </w:rPr>
              <w:t>UK</w:t>
            </w:r>
          </w:p>
        </w:tc>
        <w:tc>
          <w:tcPr>
            <w:tcW w:w="1611" w:type="dxa"/>
          </w:tcPr>
          <w:p w14:paraId="7B2A578B" w14:textId="77777777" w:rsidR="007C46B7" w:rsidRPr="002D4973" w:rsidRDefault="007C46B7" w:rsidP="00C02E7D">
            <w:pPr>
              <w:tabs>
                <w:tab w:val="decimal" w:pos="552"/>
              </w:tabs>
              <w:rPr>
                <w:rFonts w:ascii="Century Gothic" w:hAnsi="Century Gothic" w:cs="Calibri"/>
                <w:b/>
                <w:bCs/>
                <w:sz w:val="24"/>
                <w:szCs w:val="24"/>
              </w:rPr>
            </w:pPr>
            <w:r w:rsidRPr="002D4973">
              <w:rPr>
                <w:rFonts w:ascii="Century Gothic" w:hAnsi="Century Gothic" w:cs="Calibri"/>
                <w:b/>
                <w:bCs/>
                <w:sz w:val="24"/>
                <w:szCs w:val="24"/>
              </w:rPr>
              <w:t>30%</w:t>
            </w:r>
          </w:p>
        </w:tc>
        <w:tc>
          <w:tcPr>
            <w:tcW w:w="1612" w:type="dxa"/>
          </w:tcPr>
          <w:p w14:paraId="226D7BB0" w14:textId="77777777" w:rsidR="007C46B7" w:rsidRPr="002D4973" w:rsidRDefault="007C46B7" w:rsidP="00C02E7D">
            <w:pPr>
              <w:tabs>
                <w:tab w:val="decimal" w:pos="702"/>
              </w:tabs>
              <w:rPr>
                <w:rFonts w:ascii="Century Gothic" w:hAnsi="Century Gothic" w:cs="Calibri"/>
                <w:b/>
                <w:bCs/>
                <w:sz w:val="24"/>
                <w:szCs w:val="24"/>
              </w:rPr>
            </w:pPr>
            <w:r w:rsidRPr="002D4973">
              <w:rPr>
                <w:rFonts w:ascii="Century Gothic" w:hAnsi="Century Gothic" w:cs="Calibri"/>
                <w:b/>
                <w:bCs/>
                <w:sz w:val="24"/>
                <w:szCs w:val="24"/>
              </w:rPr>
              <w:t>20%</w:t>
            </w:r>
          </w:p>
        </w:tc>
        <w:tc>
          <w:tcPr>
            <w:tcW w:w="2254" w:type="dxa"/>
          </w:tcPr>
          <w:p w14:paraId="5D2EE315"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eastAsia="Times New Roman" w:hAnsi="Century Gothic" w:cs="Calibri"/>
                <w:b/>
                <w:bCs/>
                <w:sz w:val="24"/>
                <w:szCs w:val="24"/>
                <w:lang w:eastAsia="en-GB"/>
              </w:rPr>
              <w:t>10%</w:t>
            </w:r>
          </w:p>
        </w:tc>
      </w:tr>
      <w:tr w:rsidR="007C46B7" w:rsidRPr="002D4973" w14:paraId="4D563909" w14:textId="77777777" w:rsidTr="00C02E7D">
        <w:tc>
          <w:tcPr>
            <w:tcW w:w="3539" w:type="dxa"/>
            <w:vAlign w:val="bottom"/>
          </w:tcPr>
          <w:p w14:paraId="7415CC6D" w14:textId="77777777" w:rsidR="007C46B7" w:rsidRPr="002D4973" w:rsidRDefault="007C46B7" w:rsidP="00C02E7D">
            <w:pPr>
              <w:rPr>
                <w:rFonts w:ascii="Century Gothic" w:hAnsi="Century Gothic" w:cs="Calibri"/>
                <w:sz w:val="24"/>
                <w:szCs w:val="24"/>
              </w:rPr>
            </w:pPr>
            <w:r w:rsidRPr="002D4973">
              <w:rPr>
                <w:rFonts w:ascii="Century Gothic" w:hAnsi="Century Gothic" w:cs="Arial"/>
                <w:sz w:val="20"/>
                <w:szCs w:val="20"/>
              </w:rPr>
              <w:t xml:space="preserve">Bethnal Green and Bow </w:t>
            </w:r>
          </w:p>
        </w:tc>
        <w:tc>
          <w:tcPr>
            <w:tcW w:w="1611" w:type="dxa"/>
            <w:vAlign w:val="bottom"/>
          </w:tcPr>
          <w:p w14:paraId="03507028"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60.6%</w:t>
            </w:r>
          </w:p>
        </w:tc>
        <w:tc>
          <w:tcPr>
            <w:tcW w:w="1612" w:type="dxa"/>
            <w:vAlign w:val="bottom"/>
          </w:tcPr>
          <w:p w14:paraId="3FEB5A11"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30.1%</w:t>
            </w:r>
          </w:p>
        </w:tc>
        <w:tc>
          <w:tcPr>
            <w:tcW w:w="2254" w:type="dxa"/>
            <w:vAlign w:val="bottom"/>
          </w:tcPr>
          <w:p w14:paraId="42EB061C"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30.5%</w:t>
            </w:r>
          </w:p>
        </w:tc>
      </w:tr>
      <w:tr w:rsidR="007C46B7" w:rsidRPr="002D4973" w14:paraId="4CA557F2" w14:textId="77777777" w:rsidTr="00C02E7D">
        <w:tc>
          <w:tcPr>
            <w:tcW w:w="3539" w:type="dxa"/>
            <w:vAlign w:val="bottom"/>
          </w:tcPr>
          <w:p w14:paraId="7FD6F870" w14:textId="77777777" w:rsidR="007C46B7" w:rsidRPr="002D4973" w:rsidRDefault="007C46B7" w:rsidP="00C02E7D">
            <w:pPr>
              <w:rPr>
                <w:rFonts w:ascii="Century Gothic" w:hAnsi="Century Gothic" w:cs="Calibri"/>
                <w:sz w:val="24"/>
                <w:szCs w:val="24"/>
              </w:rPr>
            </w:pPr>
            <w:r w:rsidRPr="002D4973">
              <w:rPr>
                <w:rFonts w:ascii="Century Gothic" w:hAnsi="Century Gothic" w:cs="Arial"/>
                <w:sz w:val="20"/>
                <w:szCs w:val="20"/>
              </w:rPr>
              <w:t xml:space="preserve">Hackney South and Shoreditch </w:t>
            </w:r>
          </w:p>
        </w:tc>
        <w:tc>
          <w:tcPr>
            <w:tcW w:w="1611" w:type="dxa"/>
            <w:vAlign w:val="bottom"/>
          </w:tcPr>
          <w:p w14:paraId="7505EFA6"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52.0%</w:t>
            </w:r>
          </w:p>
        </w:tc>
        <w:tc>
          <w:tcPr>
            <w:tcW w:w="1612" w:type="dxa"/>
            <w:vAlign w:val="bottom"/>
          </w:tcPr>
          <w:p w14:paraId="7FC7A305"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23.9%</w:t>
            </w:r>
          </w:p>
        </w:tc>
        <w:tc>
          <w:tcPr>
            <w:tcW w:w="2254" w:type="dxa"/>
            <w:vAlign w:val="bottom"/>
          </w:tcPr>
          <w:p w14:paraId="28C5F06D"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28.1%</w:t>
            </w:r>
          </w:p>
        </w:tc>
      </w:tr>
      <w:tr w:rsidR="007C46B7" w:rsidRPr="002D4973" w14:paraId="3902B6CF" w14:textId="77777777" w:rsidTr="00C02E7D">
        <w:tc>
          <w:tcPr>
            <w:tcW w:w="3539" w:type="dxa"/>
            <w:vAlign w:val="bottom"/>
          </w:tcPr>
          <w:p w14:paraId="7E2BAA4A" w14:textId="77777777" w:rsidR="007C46B7" w:rsidRPr="002D4973" w:rsidRDefault="007C46B7" w:rsidP="00C02E7D">
            <w:pPr>
              <w:rPr>
                <w:rFonts w:ascii="Century Gothic" w:hAnsi="Century Gothic" w:cs="Calibri"/>
                <w:sz w:val="24"/>
                <w:szCs w:val="24"/>
              </w:rPr>
            </w:pPr>
            <w:r w:rsidRPr="002D4973">
              <w:rPr>
                <w:rFonts w:ascii="Century Gothic" w:hAnsi="Century Gothic" w:cs="Arial"/>
                <w:sz w:val="20"/>
                <w:szCs w:val="20"/>
              </w:rPr>
              <w:t xml:space="preserve">Bermondsey and Old Southwark </w:t>
            </w:r>
          </w:p>
        </w:tc>
        <w:tc>
          <w:tcPr>
            <w:tcW w:w="1611" w:type="dxa"/>
            <w:vAlign w:val="bottom"/>
          </w:tcPr>
          <w:p w14:paraId="6C30CEBE"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50.3%</w:t>
            </w:r>
          </w:p>
        </w:tc>
        <w:tc>
          <w:tcPr>
            <w:tcW w:w="1612" w:type="dxa"/>
            <w:vAlign w:val="bottom"/>
          </w:tcPr>
          <w:p w14:paraId="27784496"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22.3%</w:t>
            </w:r>
          </w:p>
        </w:tc>
        <w:tc>
          <w:tcPr>
            <w:tcW w:w="2254" w:type="dxa"/>
            <w:vAlign w:val="bottom"/>
          </w:tcPr>
          <w:p w14:paraId="4BEC082E"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28.0%</w:t>
            </w:r>
          </w:p>
        </w:tc>
      </w:tr>
      <w:tr w:rsidR="007C46B7" w:rsidRPr="002D4973" w14:paraId="76A4683C" w14:textId="77777777" w:rsidTr="00C02E7D">
        <w:tc>
          <w:tcPr>
            <w:tcW w:w="3539" w:type="dxa"/>
            <w:vAlign w:val="bottom"/>
          </w:tcPr>
          <w:p w14:paraId="382C04D5" w14:textId="77777777" w:rsidR="007C46B7" w:rsidRPr="002D4973" w:rsidRDefault="007C46B7" w:rsidP="00C02E7D">
            <w:pPr>
              <w:rPr>
                <w:rFonts w:ascii="Century Gothic" w:hAnsi="Century Gothic" w:cs="Calibri"/>
                <w:sz w:val="24"/>
                <w:szCs w:val="24"/>
              </w:rPr>
            </w:pPr>
            <w:r w:rsidRPr="002D4973">
              <w:rPr>
                <w:rFonts w:ascii="Century Gothic" w:hAnsi="Century Gothic" w:cs="Arial"/>
                <w:sz w:val="20"/>
                <w:szCs w:val="20"/>
              </w:rPr>
              <w:t xml:space="preserve">Holborn and St Pancras  </w:t>
            </w:r>
          </w:p>
        </w:tc>
        <w:tc>
          <w:tcPr>
            <w:tcW w:w="1611" w:type="dxa"/>
            <w:vAlign w:val="bottom"/>
          </w:tcPr>
          <w:p w14:paraId="0BC22CDC"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47.9%</w:t>
            </w:r>
          </w:p>
        </w:tc>
        <w:tc>
          <w:tcPr>
            <w:tcW w:w="1612" w:type="dxa"/>
            <w:vAlign w:val="bottom"/>
          </w:tcPr>
          <w:p w14:paraId="333FA05B"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19.9%</w:t>
            </w:r>
          </w:p>
        </w:tc>
        <w:tc>
          <w:tcPr>
            <w:tcW w:w="2254" w:type="dxa"/>
            <w:vAlign w:val="bottom"/>
          </w:tcPr>
          <w:p w14:paraId="2AF791E3"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28.0%</w:t>
            </w:r>
          </w:p>
        </w:tc>
      </w:tr>
      <w:tr w:rsidR="007C46B7" w:rsidRPr="002D4973" w14:paraId="32A88468" w14:textId="77777777" w:rsidTr="00C02E7D">
        <w:tc>
          <w:tcPr>
            <w:tcW w:w="3539" w:type="dxa"/>
            <w:vAlign w:val="bottom"/>
          </w:tcPr>
          <w:p w14:paraId="1C3FBD89" w14:textId="77777777" w:rsidR="007C46B7" w:rsidRPr="002D4973" w:rsidRDefault="007C46B7" w:rsidP="00C02E7D">
            <w:pPr>
              <w:rPr>
                <w:rFonts w:ascii="Century Gothic" w:hAnsi="Century Gothic" w:cs="Calibri"/>
                <w:sz w:val="24"/>
                <w:szCs w:val="24"/>
              </w:rPr>
            </w:pPr>
            <w:r w:rsidRPr="002D4973">
              <w:rPr>
                <w:rFonts w:ascii="Century Gothic" w:hAnsi="Century Gothic" w:cs="Arial"/>
                <w:sz w:val="20"/>
                <w:szCs w:val="20"/>
              </w:rPr>
              <w:t xml:space="preserve">Vauxhall </w:t>
            </w:r>
          </w:p>
        </w:tc>
        <w:tc>
          <w:tcPr>
            <w:tcW w:w="1611" w:type="dxa"/>
            <w:vAlign w:val="bottom"/>
          </w:tcPr>
          <w:p w14:paraId="5456EE6F"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49.7%</w:t>
            </w:r>
          </w:p>
        </w:tc>
        <w:tc>
          <w:tcPr>
            <w:tcW w:w="1612" w:type="dxa"/>
            <w:vAlign w:val="bottom"/>
          </w:tcPr>
          <w:p w14:paraId="260604F9"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22.2%</w:t>
            </w:r>
          </w:p>
        </w:tc>
        <w:tc>
          <w:tcPr>
            <w:tcW w:w="2254" w:type="dxa"/>
            <w:vAlign w:val="bottom"/>
          </w:tcPr>
          <w:p w14:paraId="4FF98678"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27.5%</w:t>
            </w:r>
          </w:p>
        </w:tc>
      </w:tr>
      <w:tr w:rsidR="007C46B7" w:rsidRPr="002D4973" w14:paraId="35868C8D" w14:textId="77777777" w:rsidTr="00C02E7D">
        <w:tc>
          <w:tcPr>
            <w:tcW w:w="3539" w:type="dxa"/>
            <w:vAlign w:val="bottom"/>
          </w:tcPr>
          <w:p w14:paraId="05EC6952" w14:textId="77777777" w:rsidR="007C46B7" w:rsidRPr="002D4973" w:rsidRDefault="007C46B7" w:rsidP="00C02E7D">
            <w:pPr>
              <w:rPr>
                <w:rFonts w:ascii="Century Gothic" w:hAnsi="Century Gothic" w:cs="Calibri"/>
                <w:sz w:val="24"/>
                <w:szCs w:val="24"/>
              </w:rPr>
            </w:pPr>
            <w:r w:rsidRPr="002D4973">
              <w:rPr>
                <w:rFonts w:ascii="Century Gothic" w:hAnsi="Century Gothic" w:cs="Arial"/>
                <w:sz w:val="20"/>
                <w:szCs w:val="20"/>
              </w:rPr>
              <w:t xml:space="preserve">Poplar and </w:t>
            </w:r>
            <w:proofErr w:type="spellStart"/>
            <w:r w:rsidRPr="002D4973">
              <w:rPr>
                <w:rFonts w:ascii="Century Gothic" w:hAnsi="Century Gothic" w:cs="Arial"/>
                <w:sz w:val="20"/>
                <w:szCs w:val="20"/>
              </w:rPr>
              <w:t>Limehouse</w:t>
            </w:r>
            <w:proofErr w:type="spellEnd"/>
            <w:r w:rsidRPr="002D4973">
              <w:rPr>
                <w:rFonts w:ascii="Century Gothic" w:hAnsi="Century Gothic" w:cs="Arial"/>
                <w:sz w:val="20"/>
                <w:szCs w:val="20"/>
              </w:rPr>
              <w:t xml:space="preserve"> </w:t>
            </w:r>
          </w:p>
        </w:tc>
        <w:tc>
          <w:tcPr>
            <w:tcW w:w="1611" w:type="dxa"/>
            <w:vAlign w:val="bottom"/>
          </w:tcPr>
          <w:p w14:paraId="5991129B"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52.4%</w:t>
            </w:r>
          </w:p>
        </w:tc>
        <w:tc>
          <w:tcPr>
            <w:tcW w:w="1612" w:type="dxa"/>
            <w:vAlign w:val="bottom"/>
          </w:tcPr>
          <w:p w14:paraId="2D839768"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25.1%</w:t>
            </w:r>
          </w:p>
        </w:tc>
        <w:tc>
          <w:tcPr>
            <w:tcW w:w="2254" w:type="dxa"/>
            <w:vAlign w:val="bottom"/>
          </w:tcPr>
          <w:p w14:paraId="2C54351E"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27.3%</w:t>
            </w:r>
          </w:p>
        </w:tc>
      </w:tr>
      <w:tr w:rsidR="007C46B7" w:rsidRPr="002D4973" w14:paraId="79071571" w14:textId="77777777" w:rsidTr="00C02E7D">
        <w:tc>
          <w:tcPr>
            <w:tcW w:w="3539" w:type="dxa"/>
            <w:vAlign w:val="bottom"/>
          </w:tcPr>
          <w:p w14:paraId="05CAD019" w14:textId="77777777" w:rsidR="007C46B7" w:rsidRPr="002D4973" w:rsidRDefault="007C46B7" w:rsidP="00C02E7D">
            <w:pPr>
              <w:rPr>
                <w:rFonts w:ascii="Century Gothic" w:hAnsi="Century Gothic" w:cs="Calibri"/>
                <w:sz w:val="24"/>
                <w:szCs w:val="24"/>
              </w:rPr>
            </w:pPr>
            <w:r w:rsidRPr="002D4973">
              <w:rPr>
                <w:rFonts w:ascii="Century Gothic" w:hAnsi="Century Gothic" w:cs="Arial"/>
                <w:sz w:val="20"/>
                <w:szCs w:val="20"/>
              </w:rPr>
              <w:t>Islington South and Finsbury</w:t>
            </w:r>
          </w:p>
        </w:tc>
        <w:tc>
          <w:tcPr>
            <w:tcW w:w="1611" w:type="dxa"/>
            <w:vAlign w:val="bottom"/>
          </w:tcPr>
          <w:p w14:paraId="509DFE83"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46.2%</w:t>
            </w:r>
          </w:p>
        </w:tc>
        <w:tc>
          <w:tcPr>
            <w:tcW w:w="1612" w:type="dxa"/>
            <w:vAlign w:val="bottom"/>
          </w:tcPr>
          <w:p w14:paraId="5839C09A"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19.4%</w:t>
            </w:r>
          </w:p>
        </w:tc>
        <w:tc>
          <w:tcPr>
            <w:tcW w:w="2254" w:type="dxa"/>
            <w:vAlign w:val="bottom"/>
          </w:tcPr>
          <w:p w14:paraId="3A9ECC0E"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26.8%</w:t>
            </w:r>
          </w:p>
        </w:tc>
      </w:tr>
      <w:tr w:rsidR="007C46B7" w:rsidRPr="002D4973" w14:paraId="07FDDF7B" w14:textId="77777777" w:rsidTr="00C02E7D">
        <w:tc>
          <w:tcPr>
            <w:tcW w:w="3539" w:type="dxa"/>
            <w:vAlign w:val="bottom"/>
          </w:tcPr>
          <w:p w14:paraId="1FCE8085" w14:textId="77777777" w:rsidR="007C46B7" w:rsidRPr="002D4973" w:rsidRDefault="007C46B7" w:rsidP="00C02E7D">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West Ham  </w:t>
            </w:r>
          </w:p>
        </w:tc>
        <w:tc>
          <w:tcPr>
            <w:tcW w:w="1611" w:type="dxa"/>
            <w:vAlign w:val="bottom"/>
          </w:tcPr>
          <w:p w14:paraId="50253A85"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52.5%</w:t>
            </w:r>
          </w:p>
        </w:tc>
        <w:tc>
          <w:tcPr>
            <w:tcW w:w="1612" w:type="dxa"/>
            <w:vAlign w:val="bottom"/>
          </w:tcPr>
          <w:p w14:paraId="3F42CFBE"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25.9%</w:t>
            </w:r>
          </w:p>
        </w:tc>
        <w:tc>
          <w:tcPr>
            <w:tcW w:w="2254" w:type="dxa"/>
            <w:vAlign w:val="bottom"/>
          </w:tcPr>
          <w:p w14:paraId="0128742F"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26.6%</w:t>
            </w:r>
          </w:p>
        </w:tc>
      </w:tr>
      <w:tr w:rsidR="007C46B7" w:rsidRPr="002D4973" w14:paraId="207D9D81" w14:textId="77777777" w:rsidTr="00C02E7D">
        <w:tc>
          <w:tcPr>
            <w:tcW w:w="3539" w:type="dxa"/>
            <w:vAlign w:val="bottom"/>
          </w:tcPr>
          <w:p w14:paraId="31733233" w14:textId="77777777" w:rsidR="007C46B7" w:rsidRPr="002D4973" w:rsidRDefault="007C46B7" w:rsidP="00C02E7D">
            <w:pPr>
              <w:rPr>
                <w:rFonts w:ascii="Century Gothic" w:eastAsia="Times New Roman" w:hAnsi="Century Gothic" w:cs="Calibri"/>
                <w:sz w:val="24"/>
                <w:szCs w:val="24"/>
                <w:lang w:eastAsia="en-GB"/>
              </w:rPr>
            </w:pPr>
            <w:r w:rsidRPr="002D4973">
              <w:rPr>
                <w:rFonts w:ascii="Century Gothic" w:hAnsi="Century Gothic" w:cs="Arial"/>
                <w:sz w:val="20"/>
                <w:szCs w:val="20"/>
              </w:rPr>
              <w:t>Walthamstow</w:t>
            </w:r>
          </w:p>
        </w:tc>
        <w:tc>
          <w:tcPr>
            <w:tcW w:w="1611" w:type="dxa"/>
            <w:vAlign w:val="bottom"/>
          </w:tcPr>
          <w:p w14:paraId="2B599C91"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50.8%</w:t>
            </w:r>
          </w:p>
        </w:tc>
        <w:tc>
          <w:tcPr>
            <w:tcW w:w="1612" w:type="dxa"/>
            <w:vAlign w:val="bottom"/>
          </w:tcPr>
          <w:p w14:paraId="27D83431"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24.5%</w:t>
            </w:r>
          </w:p>
        </w:tc>
        <w:tc>
          <w:tcPr>
            <w:tcW w:w="2254" w:type="dxa"/>
            <w:vAlign w:val="bottom"/>
          </w:tcPr>
          <w:p w14:paraId="2C56FEE7"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26.3%</w:t>
            </w:r>
          </w:p>
        </w:tc>
      </w:tr>
      <w:tr w:rsidR="007C46B7" w:rsidRPr="002D4973" w14:paraId="4503966C" w14:textId="77777777" w:rsidTr="00C02E7D">
        <w:tc>
          <w:tcPr>
            <w:tcW w:w="3539" w:type="dxa"/>
            <w:vAlign w:val="bottom"/>
          </w:tcPr>
          <w:p w14:paraId="0E1014D4" w14:textId="77777777" w:rsidR="007C46B7" w:rsidRPr="002D4973" w:rsidRDefault="007C46B7" w:rsidP="00C02E7D">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Tottenham </w:t>
            </w:r>
          </w:p>
        </w:tc>
        <w:tc>
          <w:tcPr>
            <w:tcW w:w="1611" w:type="dxa"/>
            <w:vAlign w:val="bottom"/>
          </w:tcPr>
          <w:p w14:paraId="19FBB244"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50.2%</w:t>
            </w:r>
          </w:p>
        </w:tc>
        <w:tc>
          <w:tcPr>
            <w:tcW w:w="1612" w:type="dxa"/>
            <w:vAlign w:val="bottom"/>
          </w:tcPr>
          <w:p w14:paraId="67F2A119"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24.0%</w:t>
            </w:r>
          </w:p>
        </w:tc>
        <w:tc>
          <w:tcPr>
            <w:tcW w:w="2254" w:type="dxa"/>
            <w:vAlign w:val="bottom"/>
          </w:tcPr>
          <w:p w14:paraId="621B1BBA"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26.2%</w:t>
            </w:r>
          </w:p>
        </w:tc>
      </w:tr>
      <w:tr w:rsidR="007C46B7" w:rsidRPr="002D4973" w14:paraId="1CDF50B9" w14:textId="77777777" w:rsidTr="00C02E7D">
        <w:tc>
          <w:tcPr>
            <w:tcW w:w="3539" w:type="dxa"/>
            <w:vAlign w:val="bottom"/>
          </w:tcPr>
          <w:p w14:paraId="35AE7DA2" w14:textId="77777777" w:rsidR="007C46B7" w:rsidRPr="002D4973" w:rsidRDefault="007C46B7" w:rsidP="00C02E7D">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East Ham  </w:t>
            </w:r>
          </w:p>
        </w:tc>
        <w:tc>
          <w:tcPr>
            <w:tcW w:w="1611" w:type="dxa"/>
            <w:vAlign w:val="bottom"/>
          </w:tcPr>
          <w:p w14:paraId="021685E0"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51.3%</w:t>
            </w:r>
          </w:p>
        </w:tc>
        <w:tc>
          <w:tcPr>
            <w:tcW w:w="1612" w:type="dxa"/>
            <w:vAlign w:val="bottom"/>
          </w:tcPr>
          <w:p w14:paraId="351A8392"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25.5%</w:t>
            </w:r>
          </w:p>
        </w:tc>
        <w:tc>
          <w:tcPr>
            <w:tcW w:w="2254" w:type="dxa"/>
            <w:vAlign w:val="bottom"/>
          </w:tcPr>
          <w:p w14:paraId="55363D6D"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25.8%</w:t>
            </w:r>
          </w:p>
        </w:tc>
      </w:tr>
      <w:tr w:rsidR="007C46B7" w:rsidRPr="002D4973" w14:paraId="080E2955" w14:textId="77777777" w:rsidTr="00C02E7D">
        <w:tc>
          <w:tcPr>
            <w:tcW w:w="3539" w:type="dxa"/>
            <w:vAlign w:val="bottom"/>
          </w:tcPr>
          <w:p w14:paraId="3E287FAE" w14:textId="77777777" w:rsidR="007C46B7" w:rsidRPr="002D4973" w:rsidRDefault="007C46B7" w:rsidP="00C02E7D">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Camberwell and Peckham </w:t>
            </w:r>
          </w:p>
        </w:tc>
        <w:tc>
          <w:tcPr>
            <w:tcW w:w="1611" w:type="dxa"/>
            <w:vAlign w:val="bottom"/>
          </w:tcPr>
          <w:p w14:paraId="32B71213"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46.1%</w:t>
            </w:r>
          </w:p>
        </w:tc>
        <w:tc>
          <w:tcPr>
            <w:tcW w:w="1612" w:type="dxa"/>
            <w:vAlign w:val="bottom"/>
          </w:tcPr>
          <w:p w14:paraId="343D30E7"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21.1%</w:t>
            </w:r>
          </w:p>
        </w:tc>
        <w:tc>
          <w:tcPr>
            <w:tcW w:w="2254" w:type="dxa"/>
            <w:vAlign w:val="bottom"/>
          </w:tcPr>
          <w:p w14:paraId="2A89EB21"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25.0%</w:t>
            </w:r>
          </w:p>
        </w:tc>
      </w:tr>
      <w:tr w:rsidR="007C46B7" w:rsidRPr="002D4973" w14:paraId="02081125" w14:textId="77777777" w:rsidTr="00C02E7D">
        <w:tc>
          <w:tcPr>
            <w:tcW w:w="3539" w:type="dxa"/>
            <w:vAlign w:val="bottom"/>
          </w:tcPr>
          <w:p w14:paraId="22545B47" w14:textId="77777777" w:rsidR="007C46B7" w:rsidRPr="002D4973" w:rsidRDefault="007C46B7" w:rsidP="00C02E7D">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Hackney North and Stoke Newington </w:t>
            </w:r>
          </w:p>
        </w:tc>
        <w:tc>
          <w:tcPr>
            <w:tcW w:w="1611" w:type="dxa"/>
            <w:vAlign w:val="bottom"/>
          </w:tcPr>
          <w:p w14:paraId="193E6B84"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44.6%</w:t>
            </w:r>
          </w:p>
        </w:tc>
        <w:tc>
          <w:tcPr>
            <w:tcW w:w="1612" w:type="dxa"/>
            <w:vAlign w:val="bottom"/>
          </w:tcPr>
          <w:p w14:paraId="0AAF6DB0"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19.6%</w:t>
            </w:r>
          </w:p>
        </w:tc>
        <w:tc>
          <w:tcPr>
            <w:tcW w:w="2254" w:type="dxa"/>
            <w:vAlign w:val="bottom"/>
          </w:tcPr>
          <w:p w14:paraId="070FBE66"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25.0%</w:t>
            </w:r>
          </w:p>
        </w:tc>
      </w:tr>
      <w:tr w:rsidR="007C46B7" w:rsidRPr="002D4973" w14:paraId="379E3EEA" w14:textId="77777777" w:rsidTr="00C02E7D">
        <w:tc>
          <w:tcPr>
            <w:tcW w:w="3539" w:type="dxa"/>
            <w:vAlign w:val="bottom"/>
          </w:tcPr>
          <w:p w14:paraId="0A8673DD" w14:textId="77777777" w:rsidR="007C46B7" w:rsidRPr="002D4973" w:rsidRDefault="007C46B7" w:rsidP="00C02E7D">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Greenwich and Woolwich </w:t>
            </w:r>
          </w:p>
        </w:tc>
        <w:tc>
          <w:tcPr>
            <w:tcW w:w="1611" w:type="dxa"/>
            <w:vAlign w:val="bottom"/>
          </w:tcPr>
          <w:p w14:paraId="63179A56"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45.9%</w:t>
            </w:r>
          </w:p>
        </w:tc>
        <w:tc>
          <w:tcPr>
            <w:tcW w:w="1612" w:type="dxa"/>
            <w:vAlign w:val="bottom"/>
          </w:tcPr>
          <w:p w14:paraId="1B88B6CB"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21.0%</w:t>
            </w:r>
          </w:p>
        </w:tc>
        <w:tc>
          <w:tcPr>
            <w:tcW w:w="2254" w:type="dxa"/>
            <w:vAlign w:val="bottom"/>
          </w:tcPr>
          <w:p w14:paraId="66D940F7"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24.9%</w:t>
            </w:r>
          </w:p>
        </w:tc>
      </w:tr>
      <w:tr w:rsidR="007C46B7" w:rsidRPr="002D4973" w14:paraId="7D72DA88" w14:textId="77777777" w:rsidTr="00C02E7D">
        <w:tc>
          <w:tcPr>
            <w:tcW w:w="3539" w:type="dxa"/>
            <w:vAlign w:val="bottom"/>
          </w:tcPr>
          <w:p w14:paraId="4CE06229" w14:textId="77777777" w:rsidR="007C46B7" w:rsidRPr="002D4973" w:rsidRDefault="007C46B7" w:rsidP="00C02E7D">
            <w:pPr>
              <w:rPr>
                <w:rFonts w:ascii="Century Gothic" w:eastAsia="Times New Roman" w:hAnsi="Century Gothic" w:cs="Calibri"/>
                <w:sz w:val="24"/>
                <w:szCs w:val="24"/>
                <w:lang w:eastAsia="en-GB"/>
              </w:rPr>
            </w:pPr>
            <w:r w:rsidRPr="002D4973">
              <w:rPr>
                <w:rFonts w:ascii="Century Gothic" w:hAnsi="Century Gothic" w:cs="Arial"/>
                <w:sz w:val="20"/>
                <w:szCs w:val="20"/>
              </w:rPr>
              <w:t>Mitcham and Morden</w:t>
            </w:r>
          </w:p>
        </w:tc>
        <w:tc>
          <w:tcPr>
            <w:tcW w:w="1611" w:type="dxa"/>
            <w:vAlign w:val="bottom"/>
          </w:tcPr>
          <w:p w14:paraId="57229FDA"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48.5%</w:t>
            </w:r>
          </w:p>
        </w:tc>
        <w:tc>
          <w:tcPr>
            <w:tcW w:w="1612" w:type="dxa"/>
            <w:vAlign w:val="bottom"/>
          </w:tcPr>
          <w:p w14:paraId="665B49AE"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23.8%</w:t>
            </w:r>
          </w:p>
        </w:tc>
        <w:tc>
          <w:tcPr>
            <w:tcW w:w="2254" w:type="dxa"/>
            <w:vAlign w:val="bottom"/>
          </w:tcPr>
          <w:p w14:paraId="57269018"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24.7%</w:t>
            </w:r>
          </w:p>
        </w:tc>
      </w:tr>
      <w:tr w:rsidR="007C46B7" w:rsidRPr="002D4973" w14:paraId="5A1959DB" w14:textId="77777777" w:rsidTr="00C02E7D">
        <w:tc>
          <w:tcPr>
            <w:tcW w:w="3539" w:type="dxa"/>
            <w:vAlign w:val="bottom"/>
          </w:tcPr>
          <w:p w14:paraId="3A36903D" w14:textId="77777777" w:rsidR="007C46B7" w:rsidRPr="002D4973" w:rsidRDefault="007C46B7" w:rsidP="00C02E7D">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Leyton and Wanstead </w:t>
            </w:r>
          </w:p>
        </w:tc>
        <w:tc>
          <w:tcPr>
            <w:tcW w:w="1611" w:type="dxa"/>
            <w:vAlign w:val="bottom"/>
          </w:tcPr>
          <w:p w14:paraId="5A483F50"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46.0%</w:t>
            </w:r>
          </w:p>
        </w:tc>
        <w:tc>
          <w:tcPr>
            <w:tcW w:w="1612" w:type="dxa"/>
            <w:vAlign w:val="bottom"/>
          </w:tcPr>
          <w:p w14:paraId="20B1C106"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21.3%</w:t>
            </w:r>
          </w:p>
        </w:tc>
        <w:tc>
          <w:tcPr>
            <w:tcW w:w="2254" w:type="dxa"/>
            <w:vAlign w:val="bottom"/>
          </w:tcPr>
          <w:p w14:paraId="5E46B84D"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24.7%</w:t>
            </w:r>
          </w:p>
        </w:tc>
      </w:tr>
      <w:tr w:rsidR="007C46B7" w:rsidRPr="002D4973" w14:paraId="2E33E20D" w14:textId="77777777" w:rsidTr="00C02E7D">
        <w:tc>
          <w:tcPr>
            <w:tcW w:w="3539" w:type="dxa"/>
            <w:vAlign w:val="bottom"/>
          </w:tcPr>
          <w:p w14:paraId="19991861" w14:textId="77777777" w:rsidR="007C46B7" w:rsidRPr="002D4973" w:rsidRDefault="007C46B7" w:rsidP="00C02E7D">
            <w:pPr>
              <w:rPr>
                <w:rFonts w:ascii="Century Gothic" w:eastAsia="Times New Roman" w:hAnsi="Century Gothic" w:cs="Calibri"/>
                <w:sz w:val="24"/>
                <w:szCs w:val="24"/>
                <w:lang w:eastAsia="en-GB"/>
              </w:rPr>
            </w:pPr>
            <w:r w:rsidRPr="002D4973">
              <w:rPr>
                <w:rFonts w:ascii="Century Gothic" w:hAnsi="Century Gothic" w:cs="Arial"/>
                <w:sz w:val="20"/>
                <w:szCs w:val="20"/>
              </w:rPr>
              <w:t xml:space="preserve">Lewisham West and Penge </w:t>
            </w:r>
          </w:p>
        </w:tc>
        <w:tc>
          <w:tcPr>
            <w:tcW w:w="1611" w:type="dxa"/>
            <w:vAlign w:val="bottom"/>
          </w:tcPr>
          <w:p w14:paraId="2148F158" w14:textId="77777777" w:rsidR="007C46B7" w:rsidRPr="002D4973" w:rsidRDefault="007C46B7" w:rsidP="00C02E7D">
            <w:pPr>
              <w:tabs>
                <w:tab w:val="decimal" w:pos="552"/>
              </w:tabs>
              <w:rPr>
                <w:rFonts w:ascii="Century Gothic" w:hAnsi="Century Gothic" w:cs="Calibri"/>
                <w:sz w:val="24"/>
                <w:szCs w:val="24"/>
              </w:rPr>
            </w:pPr>
            <w:r w:rsidRPr="002D4973">
              <w:rPr>
                <w:rFonts w:ascii="Century Gothic" w:hAnsi="Century Gothic" w:cs="Arial"/>
                <w:sz w:val="20"/>
                <w:szCs w:val="20"/>
              </w:rPr>
              <w:t>45.9%</w:t>
            </w:r>
          </w:p>
        </w:tc>
        <w:tc>
          <w:tcPr>
            <w:tcW w:w="1612" w:type="dxa"/>
            <w:vAlign w:val="bottom"/>
          </w:tcPr>
          <w:p w14:paraId="065F87FA" w14:textId="77777777" w:rsidR="007C46B7" w:rsidRPr="002D4973" w:rsidRDefault="007C46B7" w:rsidP="00C02E7D">
            <w:pPr>
              <w:tabs>
                <w:tab w:val="decimal" w:pos="702"/>
              </w:tabs>
              <w:rPr>
                <w:rFonts w:ascii="Century Gothic" w:hAnsi="Century Gothic" w:cs="Calibri"/>
                <w:sz w:val="24"/>
                <w:szCs w:val="24"/>
              </w:rPr>
            </w:pPr>
            <w:r w:rsidRPr="002D4973">
              <w:rPr>
                <w:rFonts w:ascii="Century Gothic" w:hAnsi="Century Gothic" w:cs="Arial"/>
                <w:sz w:val="20"/>
                <w:szCs w:val="20"/>
              </w:rPr>
              <w:t>21.5%</w:t>
            </w:r>
          </w:p>
        </w:tc>
        <w:tc>
          <w:tcPr>
            <w:tcW w:w="2254" w:type="dxa"/>
            <w:vAlign w:val="bottom"/>
          </w:tcPr>
          <w:p w14:paraId="19F02E7B" w14:textId="77777777" w:rsidR="007C46B7" w:rsidRPr="002D4973" w:rsidRDefault="007C46B7" w:rsidP="00C02E7D">
            <w:pPr>
              <w:tabs>
                <w:tab w:val="decimal" w:pos="935"/>
              </w:tabs>
              <w:rPr>
                <w:rFonts w:ascii="Century Gothic" w:hAnsi="Century Gothic" w:cs="Calibri"/>
                <w:b/>
                <w:bCs/>
                <w:sz w:val="24"/>
                <w:szCs w:val="24"/>
              </w:rPr>
            </w:pPr>
            <w:r w:rsidRPr="002D4973">
              <w:rPr>
                <w:rFonts w:ascii="Century Gothic" w:hAnsi="Century Gothic" w:cs="Arial"/>
                <w:sz w:val="20"/>
                <w:szCs w:val="20"/>
              </w:rPr>
              <w:t>24.4%</w:t>
            </w:r>
          </w:p>
        </w:tc>
      </w:tr>
    </w:tbl>
    <w:p w14:paraId="4BB04338" w14:textId="77777777" w:rsidR="007C46B7" w:rsidRPr="002D4973" w:rsidRDefault="007C46B7" w:rsidP="00DD6015">
      <w:pPr>
        <w:pStyle w:val="NCBBody"/>
        <w:rPr>
          <w:rFonts w:ascii="Century Gothic" w:hAnsi="Century Gothic"/>
          <w:bCs/>
          <w:color w:val="1B1464"/>
          <w:sz w:val="21"/>
          <w:szCs w:val="21"/>
        </w:rPr>
      </w:pPr>
    </w:p>
    <w:p w14:paraId="4399AE49" w14:textId="77777777" w:rsidR="00DD6015" w:rsidRPr="002D4973" w:rsidRDefault="00DD6015" w:rsidP="00DD6015">
      <w:pPr>
        <w:pStyle w:val="NCBBody"/>
        <w:rPr>
          <w:rFonts w:ascii="Century Gothic" w:hAnsi="Century Gothic"/>
          <w:b/>
          <w:color w:val="1B1464"/>
          <w:sz w:val="28"/>
        </w:rPr>
      </w:pPr>
      <w:r w:rsidRPr="002D4973">
        <w:rPr>
          <w:rFonts w:ascii="Century Gothic" w:hAnsi="Century Gothic"/>
          <w:b/>
          <w:color w:val="1B1464"/>
          <w:sz w:val="28"/>
        </w:rPr>
        <w:t>ENDS</w:t>
      </w:r>
    </w:p>
    <w:p w14:paraId="79C00F31" w14:textId="77777777" w:rsidR="00DD6015" w:rsidRPr="002D4973" w:rsidRDefault="00DD6015" w:rsidP="00DD6015">
      <w:pPr>
        <w:pStyle w:val="NCBBody"/>
        <w:rPr>
          <w:rFonts w:ascii="Century Gothic" w:hAnsi="Century Gothic"/>
          <w:b/>
          <w:color w:val="1B1464"/>
          <w:sz w:val="28"/>
        </w:rPr>
      </w:pPr>
      <w:r w:rsidRPr="002D4973">
        <w:rPr>
          <w:rFonts w:ascii="Century Gothic" w:hAnsi="Century Gothic"/>
          <w:b/>
          <w:color w:val="1B1464"/>
          <w:sz w:val="28"/>
        </w:rPr>
        <w:t>Notes to editors</w:t>
      </w:r>
    </w:p>
    <w:p w14:paraId="02FCA4C1" w14:textId="619D4A66" w:rsidR="002D4973" w:rsidRDefault="00DD6015" w:rsidP="002D4973">
      <w:pPr>
        <w:pStyle w:val="NCBBody"/>
        <w:rPr>
          <w:rFonts w:ascii="Century Gothic" w:hAnsi="Century Gothic"/>
        </w:rPr>
      </w:pPr>
      <w:r w:rsidRPr="002D4973">
        <w:rPr>
          <w:rFonts w:ascii="Century Gothic" w:hAnsi="Century Gothic"/>
        </w:rPr>
        <w:t>For further information</w:t>
      </w:r>
      <w:r w:rsidR="002D4973">
        <w:rPr>
          <w:rFonts w:ascii="Century Gothic" w:hAnsi="Century Gothic"/>
        </w:rPr>
        <w:t xml:space="preserve"> on London data</w:t>
      </w:r>
      <w:r w:rsidRPr="002D4973">
        <w:rPr>
          <w:rFonts w:ascii="Century Gothic" w:hAnsi="Century Gothic"/>
        </w:rPr>
        <w:t>, please contac</w:t>
      </w:r>
      <w:r w:rsidR="002D4973">
        <w:rPr>
          <w:rFonts w:ascii="Century Gothic" w:hAnsi="Century Gothic"/>
        </w:rPr>
        <w:t>t Child Poverty Action Group’s</w:t>
      </w:r>
      <w:r w:rsidRPr="002D4973">
        <w:rPr>
          <w:rFonts w:ascii="Century Gothic" w:hAnsi="Century Gothic"/>
        </w:rPr>
        <w:t xml:space="preserve"> media office: </w:t>
      </w:r>
      <w:r w:rsidR="002D4973">
        <w:rPr>
          <w:rFonts w:ascii="Century Gothic" w:hAnsi="Century Gothic"/>
        </w:rPr>
        <w:t>07816 909302</w:t>
      </w:r>
    </w:p>
    <w:p w14:paraId="433DF355" w14:textId="77777777" w:rsidR="00250915" w:rsidRPr="00250915" w:rsidRDefault="00250915" w:rsidP="00250915">
      <w:pPr>
        <w:pStyle w:val="NCBBody"/>
        <w:rPr>
          <w:rFonts w:ascii="Century Gothic" w:hAnsi="Century Gothic"/>
        </w:rPr>
      </w:pPr>
      <w:r w:rsidRPr="00250915">
        <w:rPr>
          <w:rFonts w:ascii="Century Gothic" w:hAnsi="Century Gothic"/>
        </w:rPr>
        <w:t xml:space="preserve">The research was carried out by Dr Juliet Stone and Professor Donald Hirsch at the Centre for Research in Social Policy, at Loughborough University using Before Housing Cost data produced by the Department for Work and Pensions in March 2020, together with housing cost data from the Valuation Office Agency and income data from the Understanding Society survey. The report and data is available at </w:t>
      </w:r>
      <w:hyperlink r:id="rId12" w:history="1">
        <w:r w:rsidRPr="00250915">
          <w:rPr>
            <w:rStyle w:val="Hyperlink"/>
            <w:rFonts w:ascii="Century Gothic" w:hAnsi="Century Gothic"/>
          </w:rPr>
          <w:t>www.endchildpoverty.org.uk</w:t>
        </w:r>
      </w:hyperlink>
      <w:r w:rsidRPr="00250915">
        <w:rPr>
          <w:rFonts w:ascii="Century Gothic" w:hAnsi="Century Gothic"/>
        </w:rPr>
        <w:t xml:space="preserve"> </w:t>
      </w:r>
    </w:p>
    <w:p w14:paraId="61550E7F" w14:textId="77777777" w:rsidR="00250915" w:rsidRDefault="00250915" w:rsidP="00250915">
      <w:pPr>
        <w:rPr>
          <w:rFonts w:ascii="Century Gothic" w:hAnsi="Century Gothic"/>
        </w:rPr>
      </w:pPr>
    </w:p>
    <w:p w14:paraId="5D811E81" w14:textId="77777777" w:rsidR="00250915" w:rsidRDefault="00250915" w:rsidP="00250915">
      <w:pPr>
        <w:rPr>
          <w:rFonts w:ascii="Century Gothic" w:hAnsi="Century Gothic"/>
        </w:rPr>
      </w:pPr>
    </w:p>
    <w:p w14:paraId="5DB9FD79" w14:textId="77777777" w:rsidR="00250915" w:rsidRDefault="00250915" w:rsidP="00250915">
      <w:pPr>
        <w:rPr>
          <w:rFonts w:ascii="Century Gothic" w:hAnsi="Century Gothic"/>
        </w:rPr>
      </w:pPr>
    </w:p>
    <w:p w14:paraId="4B365766" w14:textId="415DAE6C" w:rsidR="00C00A00" w:rsidRPr="002D4973" w:rsidRDefault="00C00A00" w:rsidP="00C00A00">
      <w:pPr>
        <w:pStyle w:val="ListParagraph"/>
        <w:numPr>
          <w:ilvl w:val="0"/>
          <w:numId w:val="13"/>
        </w:numPr>
        <w:rPr>
          <w:rFonts w:ascii="Century Gothic" w:hAnsi="Century Gothic"/>
        </w:rPr>
      </w:pPr>
      <w:r w:rsidRPr="002D4973">
        <w:rPr>
          <w:rFonts w:ascii="Century Gothic" w:hAnsi="Century Gothic"/>
        </w:rPr>
        <w:t>Note that the total number of children in poverty shown in the data tables only includes those aged under 16 and is therefore lower than in the main poverty statistics, which also includes 16-19 year olds in full-time secondary education.</w:t>
      </w:r>
    </w:p>
    <w:p w14:paraId="7A0C0455" w14:textId="002BC5CD" w:rsidR="00420008" w:rsidRPr="002D4973" w:rsidRDefault="00CA6BE7" w:rsidP="003E2280">
      <w:pPr>
        <w:pStyle w:val="NCBBody"/>
        <w:numPr>
          <w:ilvl w:val="0"/>
          <w:numId w:val="13"/>
        </w:numPr>
        <w:rPr>
          <w:rFonts w:ascii="Century Gothic" w:hAnsi="Century Gothic"/>
        </w:rPr>
      </w:pPr>
      <w:r w:rsidRPr="002D4973">
        <w:rPr>
          <w:rFonts w:ascii="Century Gothic" w:hAnsi="Century Gothic"/>
        </w:rPr>
        <w:t xml:space="preserve">For more information about </w:t>
      </w:r>
      <w:r w:rsidR="00AD7C55" w:rsidRPr="002D4973">
        <w:rPr>
          <w:rFonts w:ascii="Century Gothic" w:hAnsi="Century Gothic"/>
        </w:rPr>
        <w:t xml:space="preserve">End Child Poverty’s complaint to the Office for Statistical Regulation and their judgement visit </w:t>
      </w:r>
      <w:hyperlink r:id="rId13" w:history="1">
        <w:r w:rsidR="00395E54" w:rsidRPr="002D4973">
          <w:rPr>
            <w:rStyle w:val="Hyperlink"/>
            <w:rFonts w:ascii="Century Gothic" w:hAnsi="Century Gothic"/>
          </w:rPr>
          <w:t>www.endchildpoverty.org.uk/pms-use-of-child-poverty-statistics-misleading/</w:t>
        </w:r>
      </w:hyperlink>
    </w:p>
    <w:p w14:paraId="600F258B" w14:textId="77777777" w:rsidR="00774F0E" w:rsidRPr="002D4973" w:rsidRDefault="00774F0E" w:rsidP="00774F0E">
      <w:pPr>
        <w:pStyle w:val="NCBBody"/>
        <w:rPr>
          <w:rFonts w:ascii="Century Gothic" w:hAnsi="Century Gothic"/>
          <w:b/>
          <w:color w:val="1B1464"/>
          <w:sz w:val="28"/>
        </w:rPr>
      </w:pPr>
      <w:r w:rsidRPr="002D4973">
        <w:rPr>
          <w:rFonts w:ascii="Century Gothic" w:hAnsi="Century Gothic"/>
          <w:b/>
          <w:color w:val="1B1464"/>
          <w:sz w:val="28"/>
        </w:rPr>
        <w:t>About End Child Poverty</w:t>
      </w:r>
    </w:p>
    <w:p w14:paraId="402030DE" w14:textId="77777777" w:rsidR="00774F0E" w:rsidRPr="002D4973" w:rsidRDefault="00774F0E" w:rsidP="00DD6015">
      <w:pPr>
        <w:pStyle w:val="NCBBody"/>
        <w:rPr>
          <w:rFonts w:ascii="Century Gothic" w:hAnsi="Century Gothic"/>
        </w:rPr>
      </w:pPr>
      <w:r w:rsidRPr="002D4973">
        <w:rPr>
          <w:rFonts w:ascii="Century Gothic" w:hAnsi="Century Gothic"/>
        </w:rPr>
        <w:t xml:space="preserve">End Child Poverty is a coalition of organisations from civic society including children’s charities, child welfare organisations, social justice groups, faith groups, trade unions and others, united in our vision of a UK free of child poverty. For more details visit: </w:t>
      </w:r>
      <w:hyperlink r:id="rId14" w:history="1">
        <w:r w:rsidRPr="002D4973">
          <w:rPr>
            <w:rFonts w:ascii="Century Gothic" w:hAnsi="Century Gothic"/>
            <w:b/>
            <w:u w:val="single"/>
          </w:rPr>
          <w:t>www.endchildpoverty.org.uk</w:t>
        </w:r>
      </w:hyperlink>
      <w:r w:rsidRPr="002D4973">
        <w:rPr>
          <w:rFonts w:ascii="Century Gothic" w:hAnsi="Century Gothic"/>
        </w:rPr>
        <w:t xml:space="preserve">   </w:t>
      </w:r>
    </w:p>
    <w:p w14:paraId="0EEC57BB" w14:textId="77777777" w:rsidR="00DD6015" w:rsidRPr="002D4973" w:rsidRDefault="00DD6015" w:rsidP="00DD6015">
      <w:pPr>
        <w:pStyle w:val="NCBSecondaryBullet"/>
        <w:numPr>
          <w:ilvl w:val="0"/>
          <w:numId w:val="0"/>
        </w:numPr>
        <w:rPr>
          <w:rFonts w:ascii="Century Gothic" w:hAnsi="Century Gothic"/>
        </w:rPr>
      </w:pPr>
    </w:p>
    <w:sectPr w:rsidR="00DD6015" w:rsidRPr="002D4973" w:rsidSect="00F54D99">
      <w:headerReference w:type="default" r:id="rId15"/>
      <w:footerReference w:type="default" r:id="rId16"/>
      <w:pgSz w:w="11906" w:h="16838"/>
      <w:pgMar w:top="2268" w:right="1440" w:bottom="1911" w:left="1701" w:header="851" w:footer="85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5F78" w16cex:dateUtc="2020-10-08T08:50:00Z"/>
  <w16cex:commentExtensible w16cex:durableId="23295FEF" w16cex:dateUtc="2020-10-08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491859" w16cid:durableId="23295F78"/>
  <w16cid:commentId w16cid:paraId="7EBDC019" w16cid:durableId="23295F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9A23F" w14:textId="77777777" w:rsidR="0047253C" w:rsidRDefault="0047253C" w:rsidP="00DD5964">
      <w:pPr>
        <w:spacing w:after="0" w:line="240" w:lineRule="auto"/>
      </w:pPr>
      <w:r>
        <w:separator/>
      </w:r>
    </w:p>
  </w:endnote>
  <w:endnote w:type="continuationSeparator" w:id="0">
    <w:p w14:paraId="06EC8C3B" w14:textId="77777777" w:rsidR="0047253C" w:rsidRDefault="0047253C" w:rsidP="00DD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ra Round Pro">
    <w:altName w:val="Calibri"/>
    <w:panose1 w:val="00000000000000000000"/>
    <w:charset w:val="00"/>
    <w:family w:val="modern"/>
    <w:notTrueType/>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D08E2" w14:textId="77777777" w:rsidR="00F54D99" w:rsidRDefault="00F54D99">
    <w:pPr>
      <w:pStyle w:val="Footer"/>
    </w:pPr>
    <w:r>
      <w:rPr>
        <w:noProof/>
        <w:lang w:eastAsia="en-GB"/>
      </w:rPr>
      <w:drawing>
        <wp:anchor distT="0" distB="0" distL="114300" distR="114300" simplePos="0" relativeHeight="251669504" behindDoc="0" locked="0" layoutInCell="1" allowOverlap="1" wp14:anchorId="72E66CC2" wp14:editId="0CE74534">
          <wp:simplePos x="0" y="0"/>
          <wp:positionH relativeFrom="page">
            <wp:posOffset>388620</wp:posOffset>
          </wp:positionH>
          <wp:positionV relativeFrom="page">
            <wp:posOffset>10097770</wp:posOffset>
          </wp:positionV>
          <wp:extent cx="2858400" cy="118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ITED_FOR_A_BETTER_LO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400" cy="118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F9B8A" w14:textId="77777777" w:rsidR="0047253C" w:rsidRDefault="0047253C" w:rsidP="00DD5964">
      <w:pPr>
        <w:spacing w:after="0" w:line="240" w:lineRule="auto"/>
      </w:pPr>
      <w:r>
        <w:separator/>
      </w:r>
    </w:p>
  </w:footnote>
  <w:footnote w:type="continuationSeparator" w:id="0">
    <w:p w14:paraId="30D77D8D" w14:textId="77777777" w:rsidR="0047253C" w:rsidRDefault="0047253C" w:rsidP="00DD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5515" w14:textId="1B4CC710" w:rsidR="008B6C8D" w:rsidRDefault="00160EBC" w:rsidP="00F54D99">
    <w:pPr>
      <w:pStyle w:val="Header"/>
    </w:pPr>
    <w:r>
      <w:rPr>
        <w:b/>
        <w:noProof/>
        <w:sz w:val="36"/>
        <w:szCs w:val="36"/>
        <w:lang w:eastAsia="en-GB"/>
      </w:rPr>
      <w:drawing>
        <wp:inline distT="0" distB="0" distL="0" distR="0" wp14:anchorId="6B7D657C" wp14:editId="44AB3A7C">
          <wp:extent cx="2390775" cy="781050"/>
          <wp:effectExtent l="0" t="0" r="9525"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3C5"/>
    <w:multiLevelType w:val="hybridMultilevel"/>
    <w:tmpl w:val="71E8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1E"/>
    <w:multiLevelType w:val="hybridMultilevel"/>
    <w:tmpl w:val="18549CE2"/>
    <w:lvl w:ilvl="0" w:tplc="13949180">
      <w:start w:val="1"/>
      <w:numFmt w:val="bullet"/>
      <w:pStyle w:val="NCBBulletBody"/>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B6092"/>
    <w:multiLevelType w:val="hybridMultilevel"/>
    <w:tmpl w:val="2F5E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B0611"/>
    <w:multiLevelType w:val="hybridMultilevel"/>
    <w:tmpl w:val="D496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6C69FA"/>
    <w:multiLevelType w:val="hybridMultilevel"/>
    <w:tmpl w:val="E406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915D91"/>
    <w:multiLevelType w:val="hybridMultilevel"/>
    <w:tmpl w:val="D9C26530"/>
    <w:lvl w:ilvl="0" w:tplc="6A34DD54">
      <w:start w:val="1"/>
      <w:numFmt w:val="bullet"/>
      <w:pStyle w:val="NCBSecondary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3EE92FAA"/>
    <w:multiLevelType w:val="hybridMultilevel"/>
    <w:tmpl w:val="3A36B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1A6A4C"/>
    <w:multiLevelType w:val="hybridMultilevel"/>
    <w:tmpl w:val="69DA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67F36"/>
    <w:multiLevelType w:val="hybridMultilevel"/>
    <w:tmpl w:val="336C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023AC"/>
    <w:multiLevelType w:val="hybridMultilevel"/>
    <w:tmpl w:val="91FC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E126F"/>
    <w:multiLevelType w:val="hybridMultilevel"/>
    <w:tmpl w:val="CF9E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3"/>
  </w:num>
  <w:num w:numId="6">
    <w:abstractNumId w:val="8"/>
  </w:num>
  <w:num w:numId="7">
    <w:abstractNumId w:val="9"/>
  </w:num>
  <w:num w:numId="8">
    <w:abstractNumId w:val="2"/>
  </w:num>
  <w:num w:numId="9">
    <w:abstractNumId w:val="10"/>
  </w:num>
  <w:num w:numId="10">
    <w:abstractNumId w:val="1"/>
  </w:num>
  <w:num w:numId="11">
    <w:abstractNumId w:val="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1"/>
    <w:rsid w:val="0000319E"/>
    <w:rsid w:val="00006273"/>
    <w:rsid w:val="0001082A"/>
    <w:rsid w:val="00012300"/>
    <w:rsid w:val="00016CCB"/>
    <w:rsid w:val="00017B05"/>
    <w:rsid w:val="000314D7"/>
    <w:rsid w:val="00050FEB"/>
    <w:rsid w:val="0005262E"/>
    <w:rsid w:val="0005265D"/>
    <w:rsid w:val="0006344A"/>
    <w:rsid w:val="00067CA8"/>
    <w:rsid w:val="000741E7"/>
    <w:rsid w:val="00074DE9"/>
    <w:rsid w:val="000A445F"/>
    <w:rsid w:val="000D645D"/>
    <w:rsid w:val="00120BEC"/>
    <w:rsid w:val="001240D3"/>
    <w:rsid w:val="00160EBC"/>
    <w:rsid w:val="001862AC"/>
    <w:rsid w:val="001A1D51"/>
    <w:rsid w:val="001A36CE"/>
    <w:rsid w:val="001C613F"/>
    <w:rsid w:val="001F4C31"/>
    <w:rsid w:val="00203051"/>
    <w:rsid w:val="00217681"/>
    <w:rsid w:val="002213F7"/>
    <w:rsid w:val="00243DAB"/>
    <w:rsid w:val="00250915"/>
    <w:rsid w:val="002525F4"/>
    <w:rsid w:val="00253FA8"/>
    <w:rsid w:val="00262D50"/>
    <w:rsid w:val="00282F46"/>
    <w:rsid w:val="002963E8"/>
    <w:rsid w:val="0029652E"/>
    <w:rsid w:val="002A06C4"/>
    <w:rsid w:val="002A49C1"/>
    <w:rsid w:val="002B4077"/>
    <w:rsid w:val="002C732B"/>
    <w:rsid w:val="002D4973"/>
    <w:rsid w:val="002E7366"/>
    <w:rsid w:val="003006E0"/>
    <w:rsid w:val="00312BE9"/>
    <w:rsid w:val="00336882"/>
    <w:rsid w:val="00385423"/>
    <w:rsid w:val="00386A40"/>
    <w:rsid w:val="00395E54"/>
    <w:rsid w:val="003B12A7"/>
    <w:rsid w:val="003B2331"/>
    <w:rsid w:val="003B2651"/>
    <w:rsid w:val="003C7775"/>
    <w:rsid w:val="003E2280"/>
    <w:rsid w:val="003F5F4F"/>
    <w:rsid w:val="00405B75"/>
    <w:rsid w:val="00405FD8"/>
    <w:rsid w:val="00420008"/>
    <w:rsid w:val="004206F3"/>
    <w:rsid w:val="00422801"/>
    <w:rsid w:val="00430D96"/>
    <w:rsid w:val="0047253C"/>
    <w:rsid w:val="004952BD"/>
    <w:rsid w:val="004B0616"/>
    <w:rsid w:val="004B2946"/>
    <w:rsid w:val="004B4A5E"/>
    <w:rsid w:val="004C4EE2"/>
    <w:rsid w:val="004E040C"/>
    <w:rsid w:val="004F2046"/>
    <w:rsid w:val="004F3E4C"/>
    <w:rsid w:val="0052082B"/>
    <w:rsid w:val="0052591C"/>
    <w:rsid w:val="00526988"/>
    <w:rsid w:val="00545013"/>
    <w:rsid w:val="00556C4B"/>
    <w:rsid w:val="00572869"/>
    <w:rsid w:val="00572AD4"/>
    <w:rsid w:val="0057486D"/>
    <w:rsid w:val="00574F06"/>
    <w:rsid w:val="00575C6F"/>
    <w:rsid w:val="0058604E"/>
    <w:rsid w:val="005A2FDC"/>
    <w:rsid w:val="005A510A"/>
    <w:rsid w:val="005D0479"/>
    <w:rsid w:val="005F1ECB"/>
    <w:rsid w:val="005F3550"/>
    <w:rsid w:val="006000A8"/>
    <w:rsid w:val="00607B34"/>
    <w:rsid w:val="006158D5"/>
    <w:rsid w:val="0062138D"/>
    <w:rsid w:val="0063065B"/>
    <w:rsid w:val="006472C7"/>
    <w:rsid w:val="0069237C"/>
    <w:rsid w:val="006A0D49"/>
    <w:rsid w:val="006A58CE"/>
    <w:rsid w:val="006D6FB4"/>
    <w:rsid w:val="006D7D3C"/>
    <w:rsid w:val="006F500F"/>
    <w:rsid w:val="00721638"/>
    <w:rsid w:val="0076128C"/>
    <w:rsid w:val="00774F0E"/>
    <w:rsid w:val="00783283"/>
    <w:rsid w:val="00786227"/>
    <w:rsid w:val="007C46B7"/>
    <w:rsid w:val="007D1280"/>
    <w:rsid w:val="008065C4"/>
    <w:rsid w:val="00814A9B"/>
    <w:rsid w:val="00830781"/>
    <w:rsid w:val="00850A3F"/>
    <w:rsid w:val="0085497E"/>
    <w:rsid w:val="00860838"/>
    <w:rsid w:val="00862877"/>
    <w:rsid w:val="008B6C8D"/>
    <w:rsid w:val="008D0CC1"/>
    <w:rsid w:val="00921803"/>
    <w:rsid w:val="00950C51"/>
    <w:rsid w:val="00967140"/>
    <w:rsid w:val="0097255B"/>
    <w:rsid w:val="00975CC5"/>
    <w:rsid w:val="009C6BD2"/>
    <w:rsid w:val="009F343D"/>
    <w:rsid w:val="00A03BDF"/>
    <w:rsid w:val="00A2269A"/>
    <w:rsid w:val="00A2475E"/>
    <w:rsid w:val="00A30E30"/>
    <w:rsid w:val="00A340FE"/>
    <w:rsid w:val="00A62822"/>
    <w:rsid w:val="00A635B8"/>
    <w:rsid w:val="00AB3671"/>
    <w:rsid w:val="00AB7A55"/>
    <w:rsid w:val="00AC0E93"/>
    <w:rsid w:val="00AC7025"/>
    <w:rsid w:val="00AC7392"/>
    <w:rsid w:val="00AD7C55"/>
    <w:rsid w:val="00AE139C"/>
    <w:rsid w:val="00AE7E06"/>
    <w:rsid w:val="00AF38EA"/>
    <w:rsid w:val="00B242B5"/>
    <w:rsid w:val="00B413A4"/>
    <w:rsid w:val="00B44623"/>
    <w:rsid w:val="00B46971"/>
    <w:rsid w:val="00B4791F"/>
    <w:rsid w:val="00B5528C"/>
    <w:rsid w:val="00B7049A"/>
    <w:rsid w:val="00B73375"/>
    <w:rsid w:val="00B76E94"/>
    <w:rsid w:val="00B77E69"/>
    <w:rsid w:val="00B84EC7"/>
    <w:rsid w:val="00B915A9"/>
    <w:rsid w:val="00B96491"/>
    <w:rsid w:val="00BC6707"/>
    <w:rsid w:val="00C00A00"/>
    <w:rsid w:val="00C04D31"/>
    <w:rsid w:val="00C10209"/>
    <w:rsid w:val="00C22B95"/>
    <w:rsid w:val="00C439E6"/>
    <w:rsid w:val="00C478F8"/>
    <w:rsid w:val="00C52BA0"/>
    <w:rsid w:val="00C5505B"/>
    <w:rsid w:val="00C61EE8"/>
    <w:rsid w:val="00C70A60"/>
    <w:rsid w:val="00C87699"/>
    <w:rsid w:val="00C90D4A"/>
    <w:rsid w:val="00C9482F"/>
    <w:rsid w:val="00CA6BE7"/>
    <w:rsid w:val="00CB0CDC"/>
    <w:rsid w:val="00CC6227"/>
    <w:rsid w:val="00CC6611"/>
    <w:rsid w:val="00CD0548"/>
    <w:rsid w:val="00CE04E1"/>
    <w:rsid w:val="00CF70A2"/>
    <w:rsid w:val="00D11C6C"/>
    <w:rsid w:val="00D2249B"/>
    <w:rsid w:val="00D37090"/>
    <w:rsid w:val="00D660EA"/>
    <w:rsid w:val="00D82841"/>
    <w:rsid w:val="00DA03B2"/>
    <w:rsid w:val="00DA629B"/>
    <w:rsid w:val="00DC4036"/>
    <w:rsid w:val="00DC5C70"/>
    <w:rsid w:val="00DD2C3F"/>
    <w:rsid w:val="00DD3E7E"/>
    <w:rsid w:val="00DD5964"/>
    <w:rsid w:val="00DD6015"/>
    <w:rsid w:val="00DE1DF7"/>
    <w:rsid w:val="00DF6505"/>
    <w:rsid w:val="00E017BF"/>
    <w:rsid w:val="00E04D8F"/>
    <w:rsid w:val="00E51C33"/>
    <w:rsid w:val="00E53E71"/>
    <w:rsid w:val="00EC12B6"/>
    <w:rsid w:val="00ED62FF"/>
    <w:rsid w:val="00F179C7"/>
    <w:rsid w:val="00F236BC"/>
    <w:rsid w:val="00F37AEC"/>
    <w:rsid w:val="00F40195"/>
    <w:rsid w:val="00F54D99"/>
    <w:rsid w:val="00F6590F"/>
    <w:rsid w:val="00F81428"/>
    <w:rsid w:val="00F84D66"/>
    <w:rsid w:val="00FA2E7F"/>
    <w:rsid w:val="00FA480C"/>
    <w:rsid w:val="00FE7359"/>
    <w:rsid w:val="00FF6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2C621"/>
  <w15:chartTrackingRefBased/>
  <w15:docId w15:val="{0E36A3FC-DC00-4B0F-A4A5-1077434F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801"/>
  </w:style>
  <w:style w:type="paragraph" w:styleId="Heading1">
    <w:name w:val="heading 1"/>
    <w:basedOn w:val="Normal"/>
    <w:next w:val="Normal"/>
    <w:link w:val="Heading1Char"/>
    <w:uiPriority w:val="9"/>
    <w:qFormat/>
    <w:rsid w:val="00422801"/>
    <w:pPr>
      <w:keepNext/>
      <w:keepLines/>
      <w:spacing w:before="360" w:after="40" w:line="240" w:lineRule="auto"/>
      <w:outlineLvl w:val="0"/>
    </w:pPr>
    <w:rPr>
      <w:rFonts w:asciiTheme="majorHAnsi" w:eastAsiaTheme="majorEastAsia" w:hAnsiTheme="majorHAnsi" w:cstheme="majorBidi"/>
      <w:color w:val="424242" w:themeColor="accent6" w:themeShade="BF"/>
      <w:sz w:val="40"/>
      <w:szCs w:val="40"/>
    </w:rPr>
  </w:style>
  <w:style w:type="paragraph" w:styleId="Heading2">
    <w:name w:val="heading 2"/>
    <w:basedOn w:val="Normal"/>
    <w:next w:val="Normal"/>
    <w:link w:val="Heading2Char"/>
    <w:uiPriority w:val="9"/>
    <w:semiHidden/>
    <w:unhideWhenUsed/>
    <w:qFormat/>
    <w:rsid w:val="00422801"/>
    <w:pPr>
      <w:keepNext/>
      <w:keepLines/>
      <w:spacing w:before="80" w:after="0" w:line="240" w:lineRule="auto"/>
      <w:outlineLvl w:val="1"/>
    </w:pPr>
    <w:rPr>
      <w:rFonts w:asciiTheme="majorHAnsi" w:eastAsiaTheme="majorEastAsia" w:hAnsiTheme="majorHAnsi" w:cstheme="majorBidi"/>
      <w:color w:val="424242" w:themeColor="accent6" w:themeShade="BF"/>
      <w:sz w:val="28"/>
      <w:szCs w:val="28"/>
    </w:rPr>
  </w:style>
  <w:style w:type="paragraph" w:styleId="Heading3">
    <w:name w:val="heading 3"/>
    <w:basedOn w:val="Normal"/>
    <w:next w:val="Normal"/>
    <w:link w:val="Heading3Char"/>
    <w:uiPriority w:val="9"/>
    <w:semiHidden/>
    <w:unhideWhenUsed/>
    <w:qFormat/>
    <w:rsid w:val="00422801"/>
    <w:pPr>
      <w:keepNext/>
      <w:keepLines/>
      <w:spacing w:before="80" w:after="0" w:line="240" w:lineRule="auto"/>
      <w:outlineLvl w:val="2"/>
    </w:pPr>
    <w:rPr>
      <w:rFonts w:asciiTheme="majorHAnsi" w:eastAsiaTheme="majorEastAsia" w:hAnsiTheme="majorHAnsi" w:cstheme="majorBidi"/>
      <w:color w:val="424242" w:themeColor="accent6" w:themeShade="BF"/>
      <w:sz w:val="24"/>
      <w:szCs w:val="24"/>
    </w:rPr>
  </w:style>
  <w:style w:type="paragraph" w:styleId="Heading4">
    <w:name w:val="heading 4"/>
    <w:basedOn w:val="Normal"/>
    <w:next w:val="Normal"/>
    <w:link w:val="Heading4Char"/>
    <w:uiPriority w:val="9"/>
    <w:semiHidden/>
    <w:unhideWhenUsed/>
    <w:qFormat/>
    <w:rsid w:val="00422801"/>
    <w:pPr>
      <w:keepNext/>
      <w:keepLines/>
      <w:spacing w:before="80" w:after="0"/>
      <w:outlineLvl w:val="3"/>
    </w:pPr>
    <w:rPr>
      <w:rFonts w:asciiTheme="majorHAnsi" w:eastAsiaTheme="majorEastAsia" w:hAnsiTheme="majorHAnsi" w:cstheme="majorBidi"/>
      <w:color w:val="595959" w:themeColor="accent6"/>
      <w:sz w:val="22"/>
      <w:szCs w:val="22"/>
    </w:rPr>
  </w:style>
  <w:style w:type="paragraph" w:styleId="Heading5">
    <w:name w:val="heading 5"/>
    <w:basedOn w:val="Normal"/>
    <w:next w:val="Normal"/>
    <w:link w:val="Heading5Char"/>
    <w:uiPriority w:val="9"/>
    <w:semiHidden/>
    <w:unhideWhenUsed/>
    <w:qFormat/>
    <w:rsid w:val="00422801"/>
    <w:pPr>
      <w:keepNext/>
      <w:keepLines/>
      <w:spacing w:before="40" w:after="0"/>
      <w:outlineLvl w:val="4"/>
    </w:pPr>
    <w:rPr>
      <w:rFonts w:asciiTheme="majorHAnsi" w:eastAsiaTheme="majorEastAsia" w:hAnsiTheme="majorHAnsi" w:cstheme="majorBidi"/>
      <w:i/>
      <w:iCs/>
      <w:color w:val="595959" w:themeColor="accent6"/>
      <w:sz w:val="22"/>
      <w:szCs w:val="22"/>
    </w:rPr>
  </w:style>
  <w:style w:type="paragraph" w:styleId="Heading6">
    <w:name w:val="heading 6"/>
    <w:basedOn w:val="Normal"/>
    <w:next w:val="Normal"/>
    <w:link w:val="Heading6Char"/>
    <w:uiPriority w:val="9"/>
    <w:semiHidden/>
    <w:unhideWhenUsed/>
    <w:qFormat/>
    <w:rsid w:val="00422801"/>
    <w:pPr>
      <w:keepNext/>
      <w:keepLines/>
      <w:spacing w:before="40" w:after="0"/>
      <w:outlineLvl w:val="5"/>
    </w:pPr>
    <w:rPr>
      <w:rFonts w:asciiTheme="majorHAnsi" w:eastAsiaTheme="majorEastAsia" w:hAnsiTheme="majorHAnsi" w:cstheme="majorBidi"/>
      <w:color w:val="595959" w:themeColor="accent6"/>
    </w:rPr>
  </w:style>
  <w:style w:type="paragraph" w:styleId="Heading7">
    <w:name w:val="heading 7"/>
    <w:basedOn w:val="Normal"/>
    <w:next w:val="Normal"/>
    <w:link w:val="Heading7Char"/>
    <w:uiPriority w:val="9"/>
    <w:semiHidden/>
    <w:unhideWhenUsed/>
    <w:qFormat/>
    <w:rsid w:val="00422801"/>
    <w:pPr>
      <w:keepNext/>
      <w:keepLines/>
      <w:spacing w:before="40" w:after="0"/>
      <w:outlineLvl w:val="6"/>
    </w:pPr>
    <w:rPr>
      <w:rFonts w:asciiTheme="majorHAnsi" w:eastAsiaTheme="majorEastAsia" w:hAnsiTheme="majorHAnsi" w:cstheme="majorBidi"/>
      <w:b/>
      <w:bCs/>
      <w:color w:val="595959" w:themeColor="accent6"/>
    </w:rPr>
  </w:style>
  <w:style w:type="paragraph" w:styleId="Heading8">
    <w:name w:val="heading 8"/>
    <w:basedOn w:val="Normal"/>
    <w:next w:val="Normal"/>
    <w:link w:val="Heading8Char"/>
    <w:uiPriority w:val="9"/>
    <w:semiHidden/>
    <w:unhideWhenUsed/>
    <w:qFormat/>
    <w:rsid w:val="00422801"/>
    <w:pPr>
      <w:keepNext/>
      <w:keepLines/>
      <w:spacing w:before="40" w:after="0"/>
      <w:outlineLvl w:val="7"/>
    </w:pPr>
    <w:rPr>
      <w:rFonts w:asciiTheme="majorHAnsi" w:eastAsiaTheme="majorEastAsia" w:hAnsiTheme="majorHAnsi" w:cstheme="majorBidi"/>
      <w:b/>
      <w:bCs/>
      <w:i/>
      <w:iCs/>
      <w:color w:val="595959" w:themeColor="accent6"/>
      <w:sz w:val="20"/>
      <w:szCs w:val="20"/>
    </w:rPr>
  </w:style>
  <w:style w:type="paragraph" w:styleId="Heading9">
    <w:name w:val="heading 9"/>
    <w:basedOn w:val="Normal"/>
    <w:next w:val="Normal"/>
    <w:link w:val="Heading9Char"/>
    <w:uiPriority w:val="9"/>
    <w:semiHidden/>
    <w:unhideWhenUsed/>
    <w:qFormat/>
    <w:rsid w:val="00422801"/>
    <w:pPr>
      <w:keepNext/>
      <w:keepLines/>
      <w:spacing w:before="40" w:after="0"/>
      <w:outlineLvl w:val="8"/>
    </w:pPr>
    <w:rPr>
      <w:rFonts w:asciiTheme="majorHAnsi" w:eastAsiaTheme="majorEastAsia" w:hAnsiTheme="majorHAnsi" w:cstheme="majorBidi"/>
      <w:i/>
      <w:iCs/>
      <w:color w:val="595959"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964"/>
  </w:style>
  <w:style w:type="paragraph" w:styleId="Footer">
    <w:name w:val="footer"/>
    <w:basedOn w:val="Normal"/>
    <w:link w:val="FooterChar"/>
    <w:uiPriority w:val="99"/>
    <w:unhideWhenUsed/>
    <w:rsid w:val="00DD5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964"/>
  </w:style>
  <w:style w:type="character" w:styleId="Hyperlink">
    <w:name w:val="Hyperlink"/>
    <w:basedOn w:val="DefaultParagraphFont"/>
    <w:uiPriority w:val="99"/>
    <w:unhideWhenUsed/>
    <w:rsid w:val="0052591C"/>
    <w:rPr>
      <w:color w:val="FF557A" w:themeColor="hyperlink"/>
      <w:u w:val="single"/>
    </w:rPr>
  </w:style>
  <w:style w:type="paragraph" w:styleId="ListParagraph">
    <w:name w:val="List Paragraph"/>
    <w:basedOn w:val="Normal"/>
    <w:link w:val="ListParagraphChar"/>
    <w:uiPriority w:val="34"/>
    <w:qFormat/>
    <w:rsid w:val="00422801"/>
    <w:pPr>
      <w:ind w:left="720"/>
      <w:contextualSpacing/>
    </w:pPr>
  </w:style>
  <w:style w:type="character" w:customStyle="1" w:styleId="Heading1Char">
    <w:name w:val="Heading 1 Char"/>
    <w:basedOn w:val="DefaultParagraphFont"/>
    <w:link w:val="Heading1"/>
    <w:uiPriority w:val="9"/>
    <w:rsid w:val="00422801"/>
    <w:rPr>
      <w:rFonts w:asciiTheme="majorHAnsi" w:eastAsiaTheme="majorEastAsia" w:hAnsiTheme="majorHAnsi" w:cstheme="majorBidi"/>
      <w:color w:val="424242" w:themeColor="accent6" w:themeShade="BF"/>
      <w:sz w:val="40"/>
      <w:szCs w:val="40"/>
    </w:rPr>
  </w:style>
  <w:style w:type="character" w:customStyle="1" w:styleId="Heading2Char">
    <w:name w:val="Heading 2 Char"/>
    <w:basedOn w:val="DefaultParagraphFont"/>
    <w:link w:val="Heading2"/>
    <w:uiPriority w:val="9"/>
    <w:semiHidden/>
    <w:rsid w:val="00422801"/>
    <w:rPr>
      <w:rFonts w:asciiTheme="majorHAnsi" w:eastAsiaTheme="majorEastAsia" w:hAnsiTheme="majorHAnsi" w:cstheme="majorBidi"/>
      <w:color w:val="424242" w:themeColor="accent6" w:themeShade="BF"/>
      <w:sz w:val="28"/>
      <w:szCs w:val="28"/>
    </w:rPr>
  </w:style>
  <w:style w:type="character" w:customStyle="1" w:styleId="Heading3Char">
    <w:name w:val="Heading 3 Char"/>
    <w:basedOn w:val="DefaultParagraphFont"/>
    <w:link w:val="Heading3"/>
    <w:uiPriority w:val="9"/>
    <w:semiHidden/>
    <w:rsid w:val="00422801"/>
    <w:rPr>
      <w:rFonts w:asciiTheme="majorHAnsi" w:eastAsiaTheme="majorEastAsia" w:hAnsiTheme="majorHAnsi" w:cstheme="majorBidi"/>
      <w:color w:val="424242" w:themeColor="accent6" w:themeShade="BF"/>
      <w:sz w:val="24"/>
      <w:szCs w:val="24"/>
    </w:rPr>
  </w:style>
  <w:style w:type="character" w:customStyle="1" w:styleId="Heading4Char">
    <w:name w:val="Heading 4 Char"/>
    <w:basedOn w:val="DefaultParagraphFont"/>
    <w:link w:val="Heading4"/>
    <w:uiPriority w:val="9"/>
    <w:semiHidden/>
    <w:rsid w:val="00422801"/>
    <w:rPr>
      <w:rFonts w:asciiTheme="majorHAnsi" w:eastAsiaTheme="majorEastAsia" w:hAnsiTheme="majorHAnsi" w:cstheme="majorBidi"/>
      <w:color w:val="595959" w:themeColor="accent6"/>
      <w:sz w:val="22"/>
      <w:szCs w:val="22"/>
    </w:rPr>
  </w:style>
  <w:style w:type="character" w:customStyle="1" w:styleId="Heading5Char">
    <w:name w:val="Heading 5 Char"/>
    <w:basedOn w:val="DefaultParagraphFont"/>
    <w:link w:val="Heading5"/>
    <w:uiPriority w:val="9"/>
    <w:semiHidden/>
    <w:rsid w:val="00422801"/>
    <w:rPr>
      <w:rFonts w:asciiTheme="majorHAnsi" w:eastAsiaTheme="majorEastAsia" w:hAnsiTheme="majorHAnsi" w:cstheme="majorBidi"/>
      <w:i/>
      <w:iCs/>
      <w:color w:val="595959" w:themeColor="accent6"/>
      <w:sz w:val="22"/>
      <w:szCs w:val="22"/>
    </w:rPr>
  </w:style>
  <w:style w:type="character" w:customStyle="1" w:styleId="Heading6Char">
    <w:name w:val="Heading 6 Char"/>
    <w:basedOn w:val="DefaultParagraphFont"/>
    <w:link w:val="Heading6"/>
    <w:uiPriority w:val="9"/>
    <w:semiHidden/>
    <w:rsid w:val="00422801"/>
    <w:rPr>
      <w:rFonts w:asciiTheme="majorHAnsi" w:eastAsiaTheme="majorEastAsia" w:hAnsiTheme="majorHAnsi" w:cstheme="majorBidi"/>
      <w:color w:val="595959" w:themeColor="accent6"/>
    </w:rPr>
  </w:style>
  <w:style w:type="character" w:customStyle="1" w:styleId="Heading7Char">
    <w:name w:val="Heading 7 Char"/>
    <w:basedOn w:val="DefaultParagraphFont"/>
    <w:link w:val="Heading7"/>
    <w:uiPriority w:val="9"/>
    <w:semiHidden/>
    <w:rsid w:val="00422801"/>
    <w:rPr>
      <w:rFonts w:asciiTheme="majorHAnsi" w:eastAsiaTheme="majorEastAsia" w:hAnsiTheme="majorHAnsi" w:cstheme="majorBidi"/>
      <w:b/>
      <w:bCs/>
      <w:color w:val="595959" w:themeColor="accent6"/>
    </w:rPr>
  </w:style>
  <w:style w:type="character" w:customStyle="1" w:styleId="Heading8Char">
    <w:name w:val="Heading 8 Char"/>
    <w:basedOn w:val="DefaultParagraphFont"/>
    <w:link w:val="Heading8"/>
    <w:uiPriority w:val="9"/>
    <w:semiHidden/>
    <w:rsid w:val="00422801"/>
    <w:rPr>
      <w:rFonts w:asciiTheme="majorHAnsi" w:eastAsiaTheme="majorEastAsia" w:hAnsiTheme="majorHAnsi" w:cstheme="majorBidi"/>
      <w:b/>
      <w:bCs/>
      <w:i/>
      <w:iCs/>
      <w:color w:val="595959" w:themeColor="accent6"/>
      <w:sz w:val="20"/>
      <w:szCs w:val="20"/>
    </w:rPr>
  </w:style>
  <w:style w:type="character" w:customStyle="1" w:styleId="Heading9Char">
    <w:name w:val="Heading 9 Char"/>
    <w:basedOn w:val="DefaultParagraphFont"/>
    <w:link w:val="Heading9"/>
    <w:uiPriority w:val="9"/>
    <w:semiHidden/>
    <w:rsid w:val="00422801"/>
    <w:rPr>
      <w:rFonts w:asciiTheme="majorHAnsi" w:eastAsiaTheme="majorEastAsia" w:hAnsiTheme="majorHAnsi" w:cstheme="majorBidi"/>
      <w:i/>
      <w:iCs/>
      <w:color w:val="595959" w:themeColor="accent6"/>
      <w:sz w:val="20"/>
      <w:szCs w:val="20"/>
    </w:rPr>
  </w:style>
  <w:style w:type="paragraph" w:styleId="Caption">
    <w:name w:val="caption"/>
    <w:basedOn w:val="Normal"/>
    <w:next w:val="Normal"/>
    <w:uiPriority w:val="35"/>
    <w:semiHidden/>
    <w:unhideWhenUsed/>
    <w:qFormat/>
    <w:rsid w:val="00422801"/>
    <w:pPr>
      <w:spacing w:line="240" w:lineRule="auto"/>
    </w:pPr>
    <w:rPr>
      <w:b/>
      <w:bCs/>
      <w:smallCaps/>
      <w:color w:val="595959" w:themeColor="text1" w:themeTint="A6"/>
    </w:rPr>
  </w:style>
  <w:style w:type="paragraph" w:styleId="Title">
    <w:name w:val="Title"/>
    <w:basedOn w:val="Normal"/>
    <w:next w:val="Normal"/>
    <w:link w:val="TitleChar"/>
    <w:uiPriority w:val="10"/>
    <w:qFormat/>
    <w:rsid w:val="0042280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2280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42280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22801"/>
    <w:rPr>
      <w:rFonts w:asciiTheme="majorHAnsi" w:eastAsiaTheme="majorEastAsia" w:hAnsiTheme="majorHAnsi" w:cstheme="majorBidi"/>
      <w:sz w:val="30"/>
      <w:szCs w:val="30"/>
    </w:rPr>
  </w:style>
  <w:style w:type="character" w:styleId="Strong">
    <w:name w:val="Strong"/>
    <w:basedOn w:val="DefaultParagraphFont"/>
    <w:uiPriority w:val="22"/>
    <w:qFormat/>
    <w:rsid w:val="00422801"/>
    <w:rPr>
      <w:b/>
      <w:bCs/>
    </w:rPr>
  </w:style>
  <w:style w:type="character" w:styleId="Emphasis">
    <w:name w:val="Emphasis"/>
    <w:basedOn w:val="DefaultParagraphFont"/>
    <w:uiPriority w:val="20"/>
    <w:qFormat/>
    <w:rsid w:val="00422801"/>
    <w:rPr>
      <w:i/>
      <w:iCs/>
      <w:color w:val="595959" w:themeColor="accent6"/>
    </w:rPr>
  </w:style>
  <w:style w:type="paragraph" w:styleId="NoSpacing">
    <w:name w:val="No Spacing"/>
    <w:uiPriority w:val="1"/>
    <w:qFormat/>
    <w:rsid w:val="00422801"/>
    <w:pPr>
      <w:spacing w:after="0" w:line="240" w:lineRule="auto"/>
    </w:pPr>
  </w:style>
  <w:style w:type="paragraph" w:styleId="Quote">
    <w:name w:val="Quote"/>
    <w:basedOn w:val="Normal"/>
    <w:next w:val="Normal"/>
    <w:link w:val="QuoteChar"/>
    <w:uiPriority w:val="29"/>
    <w:qFormat/>
    <w:rsid w:val="0042280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22801"/>
    <w:rPr>
      <w:i/>
      <w:iCs/>
      <w:color w:val="262626" w:themeColor="text1" w:themeTint="D9"/>
    </w:rPr>
  </w:style>
  <w:style w:type="paragraph" w:styleId="IntenseQuote">
    <w:name w:val="Intense Quote"/>
    <w:basedOn w:val="Normal"/>
    <w:next w:val="Normal"/>
    <w:link w:val="IntenseQuoteChar"/>
    <w:uiPriority w:val="30"/>
    <w:qFormat/>
    <w:rsid w:val="00422801"/>
    <w:pPr>
      <w:spacing w:before="160" w:after="160" w:line="264" w:lineRule="auto"/>
      <w:ind w:left="720" w:right="720"/>
      <w:jc w:val="center"/>
    </w:pPr>
    <w:rPr>
      <w:rFonts w:asciiTheme="majorHAnsi" w:eastAsiaTheme="majorEastAsia" w:hAnsiTheme="majorHAnsi" w:cstheme="majorBidi"/>
      <w:i/>
      <w:iCs/>
      <w:color w:val="595959" w:themeColor="accent6"/>
      <w:sz w:val="32"/>
      <w:szCs w:val="32"/>
    </w:rPr>
  </w:style>
  <w:style w:type="character" w:customStyle="1" w:styleId="IntenseQuoteChar">
    <w:name w:val="Intense Quote Char"/>
    <w:basedOn w:val="DefaultParagraphFont"/>
    <w:link w:val="IntenseQuote"/>
    <w:uiPriority w:val="30"/>
    <w:rsid w:val="00422801"/>
    <w:rPr>
      <w:rFonts w:asciiTheme="majorHAnsi" w:eastAsiaTheme="majorEastAsia" w:hAnsiTheme="majorHAnsi" w:cstheme="majorBidi"/>
      <w:i/>
      <w:iCs/>
      <w:color w:val="595959" w:themeColor="accent6"/>
      <w:sz w:val="32"/>
      <w:szCs w:val="32"/>
    </w:rPr>
  </w:style>
  <w:style w:type="character" w:styleId="SubtleEmphasis">
    <w:name w:val="Subtle Emphasis"/>
    <w:basedOn w:val="DefaultParagraphFont"/>
    <w:uiPriority w:val="19"/>
    <w:qFormat/>
    <w:rsid w:val="00422801"/>
    <w:rPr>
      <w:i/>
      <w:iCs/>
    </w:rPr>
  </w:style>
  <w:style w:type="character" w:styleId="IntenseEmphasis">
    <w:name w:val="Intense Emphasis"/>
    <w:basedOn w:val="DefaultParagraphFont"/>
    <w:uiPriority w:val="21"/>
    <w:qFormat/>
    <w:rsid w:val="00422801"/>
    <w:rPr>
      <w:b/>
      <w:bCs/>
      <w:i/>
      <w:iCs/>
    </w:rPr>
  </w:style>
  <w:style w:type="character" w:styleId="SubtleReference">
    <w:name w:val="Subtle Reference"/>
    <w:basedOn w:val="DefaultParagraphFont"/>
    <w:uiPriority w:val="31"/>
    <w:qFormat/>
    <w:rsid w:val="00422801"/>
    <w:rPr>
      <w:smallCaps/>
      <w:color w:val="595959" w:themeColor="text1" w:themeTint="A6"/>
    </w:rPr>
  </w:style>
  <w:style w:type="character" w:styleId="IntenseReference">
    <w:name w:val="Intense Reference"/>
    <w:basedOn w:val="DefaultParagraphFont"/>
    <w:uiPriority w:val="32"/>
    <w:qFormat/>
    <w:rsid w:val="00422801"/>
    <w:rPr>
      <w:b/>
      <w:bCs/>
      <w:smallCaps/>
      <w:color w:val="595959" w:themeColor="accent6"/>
    </w:rPr>
  </w:style>
  <w:style w:type="character" w:styleId="BookTitle">
    <w:name w:val="Book Title"/>
    <w:basedOn w:val="DefaultParagraphFont"/>
    <w:uiPriority w:val="33"/>
    <w:qFormat/>
    <w:rsid w:val="00422801"/>
    <w:rPr>
      <w:b/>
      <w:bCs/>
      <w:caps w:val="0"/>
      <w:smallCaps/>
      <w:spacing w:val="7"/>
      <w:sz w:val="21"/>
      <w:szCs w:val="21"/>
    </w:rPr>
  </w:style>
  <w:style w:type="paragraph" w:styleId="TOCHeading">
    <w:name w:val="TOC Heading"/>
    <w:basedOn w:val="Heading1"/>
    <w:next w:val="Normal"/>
    <w:uiPriority w:val="39"/>
    <w:semiHidden/>
    <w:unhideWhenUsed/>
    <w:qFormat/>
    <w:rsid w:val="00422801"/>
    <w:pPr>
      <w:outlineLvl w:val="9"/>
    </w:pPr>
  </w:style>
  <w:style w:type="paragraph" w:customStyle="1" w:styleId="NCBHeading">
    <w:name w:val="NCB_Heading"/>
    <w:basedOn w:val="Normal"/>
    <w:link w:val="NCBHeadingChar"/>
    <w:qFormat/>
    <w:rsid w:val="001240D3"/>
    <w:pPr>
      <w:spacing w:after="360"/>
    </w:pPr>
    <w:rPr>
      <w:rFonts w:ascii="Cera Round Pro" w:hAnsi="Cera Round Pro" w:cs="Segoe UI"/>
      <w:b/>
      <w:sz w:val="36"/>
      <w:szCs w:val="36"/>
    </w:rPr>
  </w:style>
  <w:style w:type="paragraph" w:customStyle="1" w:styleId="NCBSubhead">
    <w:name w:val="NCBSubhead"/>
    <w:basedOn w:val="Normal"/>
    <w:link w:val="NCBSubheadChar"/>
    <w:qFormat/>
    <w:rsid w:val="004B0616"/>
    <w:pPr>
      <w:spacing w:before="360" w:after="160"/>
    </w:pPr>
    <w:rPr>
      <w:rFonts w:ascii="Cera Pro" w:hAnsi="Cera Pro"/>
      <w:b/>
      <w:color w:val="1B1464"/>
      <w:sz w:val="28"/>
      <w:szCs w:val="24"/>
    </w:rPr>
  </w:style>
  <w:style w:type="character" w:customStyle="1" w:styleId="NCBHeadingChar">
    <w:name w:val="NCB_Heading Char"/>
    <w:basedOn w:val="DefaultParagraphFont"/>
    <w:link w:val="NCBHeading"/>
    <w:rsid w:val="001240D3"/>
    <w:rPr>
      <w:rFonts w:ascii="Cera Round Pro" w:hAnsi="Cera Round Pro" w:cs="Segoe UI"/>
      <w:b/>
      <w:sz w:val="36"/>
      <w:szCs w:val="36"/>
    </w:rPr>
  </w:style>
  <w:style w:type="paragraph" w:customStyle="1" w:styleId="NCBBody">
    <w:name w:val="NCB_Body"/>
    <w:link w:val="NCBBodyChar"/>
    <w:qFormat/>
    <w:rsid w:val="004B0616"/>
    <w:pPr>
      <w:spacing w:after="160" w:line="264" w:lineRule="auto"/>
    </w:pPr>
    <w:rPr>
      <w:rFonts w:ascii="Cera Pro" w:hAnsi="Cera Pro"/>
      <w:sz w:val="22"/>
      <w:szCs w:val="24"/>
    </w:rPr>
  </w:style>
  <w:style w:type="character" w:customStyle="1" w:styleId="NCBSubheadChar">
    <w:name w:val="NCBSubhead Char"/>
    <w:basedOn w:val="DefaultParagraphFont"/>
    <w:link w:val="NCBSubhead"/>
    <w:rsid w:val="004B0616"/>
    <w:rPr>
      <w:rFonts w:ascii="Cera Pro" w:hAnsi="Cera Pro"/>
      <w:b/>
      <w:color w:val="1B1464"/>
      <w:sz w:val="28"/>
      <w:szCs w:val="24"/>
    </w:rPr>
  </w:style>
  <w:style w:type="paragraph" w:customStyle="1" w:styleId="NCBBulletBody">
    <w:name w:val="NCB_Bullet_Body"/>
    <w:basedOn w:val="ListParagraph"/>
    <w:link w:val="NCBBulletBodyChar"/>
    <w:qFormat/>
    <w:rsid w:val="004B0616"/>
    <w:pPr>
      <w:numPr>
        <w:numId w:val="2"/>
      </w:numPr>
      <w:spacing w:after="0" w:line="264" w:lineRule="auto"/>
    </w:pPr>
    <w:rPr>
      <w:rFonts w:ascii="Cera Pro" w:hAnsi="Cera Pro"/>
      <w:sz w:val="22"/>
      <w:szCs w:val="22"/>
    </w:rPr>
  </w:style>
  <w:style w:type="character" w:customStyle="1" w:styleId="NCBBodyChar">
    <w:name w:val="NCB_Body Char"/>
    <w:basedOn w:val="NCBSubheadChar"/>
    <w:link w:val="NCBBody"/>
    <w:rsid w:val="004B0616"/>
    <w:rPr>
      <w:rFonts w:ascii="Cera Pro" w:hAnsi="Cera Pro"/>
      <w:b w:val="0"/>
      <w:color w:val="1B1464"/>
      <w:sz w:val="22"/>
      <w:szCs w:val="24"/>
    </w:rPr>
  </w:style>
  <w:style w:type="paragraph" w:customStyle="1" w:styleId="NCBSecondaryBullet">
    <w:name w:val="NCB_SecondaryBullet"/>
    <w:basedOn w:val="ListParagraph"/>
    <w:link w:val="NCBSecondaryBulletChar"/>
    <w:qFormat/>
    <w:rsid w:val="004B0616"/>
    <w:pPr>
      <w:numPr>
        <w:numId w:val="3"/>
      </w:numPr>
      <w:spacing w:after="0" w:line="264" w:lineRule="auto"/>
      <w:ind w:left="1497" w:hanging="357"/>
    </w:pPr>
    <w:rPr>
      <w:rFonts w:ascii="Cera Pro" w:hAnsi="Cera Pro"/>
      <w:sz w:val="22"/>
      <w:szCs w:val="22"/>
    </w:rPr>
  </w:style>
  <w:style w:type="character" w:customStyle="1" w:styleId="ListParagraphChar">
    <w:name w:val="List Paragraph Char"/>
    <w:basedOn w:val="DefaultParagraphFont"/>
    <w:link w:val="ListParagraph"/>
    <w:uiPriority w:val="34"/>
    <w:rsid w:val="001240D3"/>
  </w:style>
  <w:style w:type="character" w:customStyle="1" w:styleId="NCBBulletBodyChar">
    <w:name w:val="NCB_Bullet_Body Char"/>
    <w:basedOn w:val="ListParagraphChar"/>
    <w:link w:val="NCBBulletBody"/>
    <w:rsid w:val="004B0616"/>
    <w:rPr>
      <w:rFonts w:ascii="Cera Pro" w:hAnsi="Cera Pro"/>
      <w:sz w:val="22"/>
      <w:szCs w:val="22"/>
    </w:rPr>
  </w:style>
  <w:style w:type="character" w:customStyle="1" w:styleId="NCBSecondaryBulletChar">
    <w:name w:val="NCB_SecondaryBullet Char"/>
    <w:basedOn w:val="ListParagraphChar"/>
    <w:link w:val="NCBSecondaryBullet"/>
    <w:rsid w:val="004B0616"/>
    <w:rPr>
      <w:rFonts w:ascii="Cera Pro" w:hAnsi="Cera Pro"/>
      <w:sz w:val="22"/>
      <w:szCs w:val="22"/>
    </w:rPr>
  </w:style>
  <w:style w:type="paragraph" w:customStyle="1" w:styleId="Subheading2">
    <w:name w:val="Subheading 2"/>
    <w:basedOn w:val="NCBSubhead"/>
    <w:link w:val="Subheading2Char"/>
    <w:qFormat/>
    <w:rsid w:val="00F54D99"/>
    <w:rPr>
      <w:color w:val="8757E5" w:themeColor="accent2"/>
      <w:sz w:val="26"/>
      <w:szCs w:val="26"/>
    </w:rPr>
  </w:style>
  <w:style w:type="character" w:customStyle="1" w:styleId="Subheading2Char">
    <w:name w:val="Subheading 2 Char"/>
    <w:basedOn w:val="NCBSubheadChar"/>
    <w:link w:val="Subheading2"/>
    <w:rsid w:val="00F54D99"/>
    <w:rPr>
      <w:rFonts w:ascii="Cera Pro" w:hAnsi="Cera Pro"/>
      <w:b/>
      <w:color w:val="8757E5" w:themeColor="accent2"/>
      <w:sz w:val="26"/>
      <w:szCs w:val="26"/>
    </w:rPr>
  </w:style>
  <w:style w:type="character" w:styleId="CommentReference">
    <w:name w:val="annotation reference"/>
    <w:basedOn w:val="DefaultParagraphFont"/>
    <w:uiPriority w:val="99"/>
    <w:semiHidden/>
    <w:unhideWhenUsed/>
    <w:rsid w:val="00774F0E"/>
    <w:rPr>
      <w:sz w:val="16"/>
      <w:szCs w:val="16"/>
    </w:rPr>
  </w:style>
  <w:style w:type="paragraph" w:styleId="CommentText">
    <w:name w:val="annotation text"/>
    <w:basedOn w:val="Normal"/>
    <w:link w:val="CommentTextChar"/>
    <w:uiPriority w:val="99"/>
    <w:semiHidden/>
    <w:unhideWhenUsed/>
    <w:rsid w:val="00774F0E"/>
    <w:pPr>
      <w:spacing w:line="240" w:lineRule="auto"/>
    </w:pPr>
    <w:rPr>
      <w:sz w:val="20"/>
      <w:szCs w:val="20"/>
    </w:rPr>
  </w:style>
  <w:style w:type="character" w:customStyle="1" w:styleId="CommentTextChar">
    <w:name w:val="Comment Text Char"/>
    <w:basedOn w:val="DefaultParagraphFont"/>
    <w:link w:val="CommentText"/>
    <w:uiPriority w:val="99"/>
    <w:semiHidden/>
    <w:rsid w:val="00774F0E"/>
    <w:rPr>
      <w:sz w:val="20"/>
      <w:szCs w:val="20"/>
    </w:rPr>
  </w:style>
  <w:style w:type="paragraph" w:styleId="CommentSubject">
    <w:name w:val="annotation subject"/>
    <w:basedOn w:val="CommentText"/>
    <w:next w:val="CommentText"/>
    <w:link w:val="CommentSubjectChar"/>
    <w:uiPriority w:val="99"/>
    <w:semiHidden/>
    <w:unhideWhenUsed/>
    <w:rsid w:val="00774F0E"/>
    <w:rPr>
      <w:b/>
      <w:bCs/>
    </w:rPr>
  </w:style>
  <w:style w:type="character" w:customStyle="1" w:styleId="CommentSubjectChar">
    <w:name w:val="Comment Subject Char"/>
    <w:basedOn w:val="CommentTextChar"/>
    <w:link w:val="CommentSubject"/>
    <w:uiPriority w:val="99"/>
    <w:semiHidden/>
    <w:rsid w:val="00774F0E"/>
    <w:rPr>
      <w:b/>
      <w:bCs/>
      <w:sz w:val="20"/>
      <w:szCs w:val="20"/>
    </w:rPr>
  </w:style>
  <w:style w:type="paragraph" w:styleId="BalloonText">
    <w:name w:val="Balloon Text"/>
    <w:basedOn w:val="Normal"/>
    <w:link w:val="BalloonTextChar"/>
    <w:uiPriority w:val="99"/>
    <w:semiHidden/>
    <w:unhideWhenUsed/>
    <w:rsid w:val="00774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F0E"/>
    <w:rPr>
      <w:rFonts w:ascii="Segoe UI" w:hAnsi="Segoe UI" w:cs="Segoe UI"/>
      <w:sz w:val="18"/>
      <w:szCs w:val="18"/>
    </w:rPr>
  </w:style>
  <w:style w:type="character" w:customStyle="1" w:styleId="UnresolvedMention1">
    <w:name w:val="Unresolved Mention1"/>
    <w:basedOn w:val="DefaultParagraphFont"/>
    <w:uiPriority w:val="99"/>
    <w:semiHidden/>
    <w:unhideWhenUsed/>
    <w:rsid w:val="00774F0E"/>
    <w:rPr>
      <w:color w:val="605E5C"/>
      <w:shd w:val="clear" w:color="auto" w:fill="E1DFDD"/>
    </w:rPr>
  </w:style>
  <w:style w:type="table" w:styleId="TableGrid">
    <w:name w:val="Table Grid"/>
    <w:basedOn w:val="TableNormal"/>
    <w:uiPriority w:val="39"/>
    <w:rsid w:val="00B7337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2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90724">
      <w:bodyDiv w:val="1"/>
      <w:marLeft w:val="0"/>
      <w:marRight w:val="0"/>
      <w:marTop w:val="0"/>
      <w:marBottom w:val="0"/>
      <w:divBdr>
        <w:top w:val="none" w:sz="0" w:space="0" w:color="auto"/>
        <w:left w:val="none" w:sz="0" w:space="0" w:color="auto"/>
        <w:bottom w:val="none" w:sz="0" w:space="0" w:color="auto"/>
        <w:right w:val="none" w:sz="0" w:space="0" w:color="auto"/>
      </w:divBdr>
    </w:div>
    <w:div w:id="797645553">
      <w:bodyDiv w:val="1"/>
      <w:marLeft w:val="0"/>
      <w:marRight w:val="0"/>
      <w:marTop w:val="0"/>
      <w:marBottom w:val="0"/>
      <w:divBdr>
        <w:top w:val="none" w:sz="0" w:space="0" w:color="auto"/>
        <w:left w:val="none" w:sz="0" w:space="0" w:color="auto"/>
        <w:bottom w:val="none" w:sz="0" w:space="0" w:color="auto"/>
        <w:right w:val="none" w:sz="0" w:space="0" w:color="auto"/>
      </w:divBdr>
    </w:div>
    <w:div w:id="17324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dchildpoverty.org.uk/pms-use-of-child-poverty-statistics-mislead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dchildpovert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childpoverty.org.uk"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3A%2F%2Fwww.endchildpoverty.org.uk%2F&amp;data=02%7C01%7Crnewson%40ncb.org.uk%7Ca868bf4030b64fad74fe08d833bf8720%7Cadc87355e29c4519954f95e35c776178%7C0%7C0%7C637316244992028784&amp;sdata=VZ147meKF9s%2BnshrN2xOjlL3Ml20%2F3iF%2BwMFVTR06vg%3D&amp;reserved=0"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CB_COLOURS">
      <a:dk1>
        <a:sysClr val="windowText" lastClr="000000"/>
      </a:dk1>
      <a:lt1>
        <a:sysClr val="window" lastClr="FFFFFF"/>
      </a:lt1>
      <a:dk2>
        <a:srgbClr val="44546A"/>
      </a:dk2>
      <a:lt2>
        <a:srgbClr val="E7E6E6"/>
      </a:lt2>
      <a:accent1>
        <a:srgbClr val="1B1464"/>
      </a:accent1>
      <a:accent2>
        <a:srgbClr val="8757E5"/>
      </a:accent2>
      <a:accent3>
        <a:srgbClr val="FF557A"/>
      </a:accent3>
      <a:accent4>
        <a:srgbClr val="FFBF00"/>
      </a:accent4>
      <a:accent5>
        <a:srgbClr val="3A8DFF"/>
      </a:accent5>
      <a:accent6>
        <a:srgbClr val="595959"/>
      </a:accent6>
      <a:hlink>
        <a:srgbClr val="FF557A"/>
      </a:hlink>
      <a:folHlink>
        <a:srgbClr val="8757E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6340CCB1C86409BAFAA0CF18A02D1" ma:contentTypeVersion="7" ma:contentTypeDescription="Create a new document." ma:contentTypeScope="" ma:versionID="091bde87304247937d9a387455a74e99">
  <xsd:schema xmlns:xsd="http://www.w3.org/2001/XMLSchema" xmlns:xs="http://www.w3.org/2001/XMLSchema" xmlns:p="http://schemas.microsoft.com/office/2006/metadata/properties" xmlns:ns3="a36b90fb-9dae-4c63-b847-e4b5721a9d3c" xmlns:ns4="87aee8ba-dd15-4f8c-87cb-cb0852d98baf" targetNamespace="http://schemas.microsoft.com/office/2006/metadata/properties" ma:root="true" ma:fieldsID="ec7ebc9fd8f5148cef1965def518b39f" ns3:_="" ns4:_="">
    <xsd:import namespace="a36b90fb-9dae-4c63-b847-e4b5721a9d3c"/>
    <xsd:import namespace="87aee8ba-dd15-4f8c-87cb-cb0852d98b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b90fb-9dae-4c63-b847-e4b5721a9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ee8ba-dd15-4f8c-87cb-cb0852d98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96C4-E19A-4D4A-ACEF-B337A0DD4A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35BC54-FE9F-41D6-9540-DAA9067B4E42}">
  <ds:schemaRefs>
    <ds:schemaRef ds:uri="http://schemas.microsoft.com/sharepoint/v3/contenttype/forms"/>
  </ds:schemaRefs>
</ds:datastoreItem>
</file>

<file path=customXml/itemProps3.xml><?xml version="1.0" encoding="utf-8"?>
<ds:datastoreItem xmlns:ds="http://schemas.openxmlformats.org/officeDocument/2006/customXml" ds:itemID="{A585239A-18D1-4407-BA5D-44245B99D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b90fb-9dae-4c63-b847-e4b5721a9d3c"/>
    <ds:schemaRef ds:uri="87aee8ba-dd15-4f8c-87cb-cb0852d98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FE6D-98B6-48E2-9FCE-63DB4281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Newson</dc:creator>
  <cp:keywords/>
  <dc:description/>
  <cp:lastModifiedBy>Ahrends, Jane</cp:lastModifiedBy>
  <cp:revision>13</cp:revision>
  <cp:lastPrinted>2019-07-31T10:44:00Z</cp:lastPrinted>
  <dcterms:created xsi:type="dcterms:W3CDTF">2020-10-08T09:13:00Z</dcterms:created>
  <dcterms:modified xsi:type="dcterms:W3CDTF">2020-10-08T12:53:00Z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0x01010033E6340CCB1C86409BAFAA0CF18A02D1</vt:lpwstr>
  </property>
  <property fmtid="{D5CDD505-2E9C-101B-9397-08002B2CF9AE}" pid="3" name="_NewReviewCycle">
    <vt:lpwstr/>
  </property>
</Properties>
</file>